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8B" w:rsidRDefault="0060138B" w:rsidP="0060138B">
      <w:pPr>
        <w:rPr>
          <w:rFonts w:ascii="Times New Roman" w:hAnsi="Times New Roman" w:cs="Times New Roman"/>
          <w:b/>
          <w:lang w:val="en-GB"/>
        </w:rPr>
      </w:pPr>
      <w:r>
        <w:rPr>
          <w:rFonts w:ascii="Times New Roman" w:hAnsi="Times New Roman" w:cs="Times New Roman"/>
          <w:b/>
          <w:lang w:val="en-GB"/>
        </w:rPr>
        <w:t>SUMMARY MINUTES</w:t>
      </w:r>
    </w:p>
    <w:p w:rsidR="00A820AD" w:rsidRPr="00A820AD" w:rsidRDefault="007B7C44" w:rsidP="0060138B">
      <w:pPr>
        <w:rPr>
          <w:rFonts w:ascii="Times New Roman" w:hAnsi="Times New Roman" w:cs="Times New Roman"/>
          <w:b/>
          <w:lang w:val="en-GB"/>
        </w:rPr>
      </w:pPr>
      <w:r>
        <w:rPr>
          <w:rFonts w:ascii="Times New Roman" w:hAnsi="Times New Roman" w:cs="Times New Roman"/>
          <w:b/>
          <w:lang w:val="en-GB"/>
        </w:rPr>
        <w:t xml:space="preserve">ICI </w:t>
      </w:r>
      <w:r w:rsidR="00A820AD" w:rsidRPr="00A820AD">
        <w:rPr>
          <w:rFonts w:ascii="Times New Roman" w:hAnsi="Times New Roman" w:cs="Times New Roman"/>
          <w:b/>
          <w:lang w:val="en-GB"/>
        </w:rPr>
        <w:t xml:space="preserve">Telephone Conference </w:t>
      </w:r>
      <w:r w:rsidR="00130499">
        <w:rPr>
          <w:rFonts w:ascii="Times New Roman" w:hAnsi="Times New Roman" w:cs="Times New Roman"/>
          <w:b/>
          <w:lang w:val="en-GB"/>
        </w:rPr>
        <w:t xml:space="preserve">with </w:t>
      </w:r>
      <w:r w:rsidR="00A820AD" w:rsidRPr="00A820AD">
        <w:rPr>
          <w:rFonts w:ascii="Times New Roman" w:hAnsi="Times New Roman" w:cs="Times New Roman"/>
          <w:b/>
          <w:lang w:val="en-GB"/>
        </w:rPr>
        <w:t>Representatives of</w:t>
      </w:r>
      <w:r w:rsidR="0060138B">
        <w:rPr>
          <w:rFonts w:ascii="Times New Roman" w:hAnsi="Times New Roman" w:cs="Times New Roman"/>
          <w:b/>
          <w:lang w:val="en-GB"/>
        </w:rPr>
        <w:t xml:space="preserve"> </w:t>
      </w:r>
      <w:r w:rsidR="00A820AD" w:rsidRPr="00A820AD">
        <w:rPr>
          <w:rFonts w:ascii="Times New Roman" w:hAnsi="Times New Roman" w:cs="Times New Roman"/>
          <w:b/>
          <w:lang w:val="en-GB"/>
        </w:rPr>
        <w:t>EFMLG, FLB, FMLC, FMLG, HKMA, MAS a</w:t>
      </w:r>
      <w:r w:rsidR="00A820AD">
        <w:rPr>
          <w:rFonts w:ascii="Times New Roman" w:hAnsi="Times New Roman" w:cs="Times New Roman"/>
          <w:b/>
          <w:lang w:val="en-GB"/>
        </w:rPr>
        <w:t>n</w:t>
      </w:r>
      <w:r w:rsidR="00A820AD" w:rsidRPr="00A820AD">
        <w:rPr>
          <w:rFonts w:ascii="Times New Roman" w:hAnsi="Times New Roman" w:cs="Times New Roman"/>
          <w:b/>
          <w:lang w:val="en-GB"/>
        </w:rPr>
        <w:t>d SNB</w:t>
      </w:r>
    </w:p>
    <w:p w:rsidR="00A820AD" w:rsidRDefault="00130499" w:rsidP="0060138B">
      <w:pPr>
        <w:rPr>
          <w:rFonts w:ascii="Times New Roman" w:hAnsi="Times New Roman" w:cs="Times New Roman"/>
          <w:b/>
          <w:lang w:val="en-GB"/>
        </w:rPr>
      </w:pPr>
      <w:r>
        <w:rPr>
          <w:rFonts w:ascii="Times New Roman" w:hAnsi="Times New Roman" w:cs="Times New Roman"/>
          <w:b/>
          <w:lang w:val="en-GB"/>
        </w:rPr>
        <w:t>7 May 2019</w:t>
      </w:r>
      <w:r w:rsidR="00A820AD" w:rsidRPr="00A820AD">
        <w:rPr>
          <w:rFonts w:ascii="Times New Roman" w:hAnsi="Times New Roman" w:cs="Times New Roman"/>
          <w:b/>
          <w:lang w:val="en-GB"/>
        </w:rPr>
        <w:t xml:space="preserve">, 20:00 </w:t>
      </w:r>
      <w:r>
        <w:rPr>
          <w:rFonts w:ascii="Times New Roman" w:hAnsi="Times New Roman" w:cs="Times New Roman"/>
          <w:b/>
          <w:lang w:val="en-GB"/>
        </w:rPr>
        <w:t>SG</w:t>
      </w:r>
      <w:r w:rsidR="00500B88">
        <w:rPr>
          <w:rFonts w:ascii="Times New Roman" w:hAnsi="Times New Roman" w:cs="Times New Roman"/>
          <w:b/>
          <w:lang w:val="en-GB"/>
        </w:rPr>
        <w:t xml:space="preserve"> Time </w:t>
      </w:r>
    </w:p>
    <w:p w:rsidR="00E34F51" w:rsidRDefault="00E34F51" w:rsidP="00A820AD">
      <w:pPr>
        <w:jc w:val="center"/>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7409AC" w:rsidTr="00AE0A75">
        <w:tc>
          <w:tcPr>
            <w:tcW w:w="846" w:type="dxa"/>
          </w:tcPr>
          <w:p w:rsidR="007409AC" w:rsidRPr="000F7991" w:rsidRDefault="007409AC" w:rsidP="00D849A1">
            <w:pPr>
              <w:rPr>
                <w:rFonts w:ascii="Times New Roman" w:hAnsi="Times New Roman" w:cs="Times New Roman"/>
                <w:b/>
                <w:lang w:val="en-GB"/>
              </w:rPr>
            </w:pPr>
            <w:r w:rsidRPr="000F7991">
              <w:rPr>
                <w:rFonts w:ascii="Times New Roman" w:hAnsi="Times New Roman" w:cs="Times New Roman"/>
                <w:b/>
                <w:lang w:val="en-GB"/>
              </w:rPr>
              <w:t>1.</w:t>
            </w:r>
          </w:p>
        </w:tc>
        <w:tc>
          <w:tcPr>
            <w:tcW w:w="3402" w:type="dxa"/>
          </w:tcPr>
          <w:p w:rsidR="007409AC" w:rsidRPr="00EB0008" w:rsidRDefault="007409AC" w:rsidP="00EB0008">
            <w:pPr>
              <w:rPr>
                <w:rFonts w:ascii="Times New Roman" w:hAnsi="Times New Roman" w:cs="Times New Roman"/>
                <w:lang w:val="en-GB"/>
              </w:rPr>
            </w:pPr>
            <w:r>
              <w:rPr>
                <w:rFonts w:ascii="Times New Roman" w:hAnsi="Times New Roman" w:cs="Times New Roman"/>
                <w:b/>
                <w:lang w:val="en-GB"/>
              </w:rPr>
              <w:t>FMLG</w:t>
            </w:r>
            <w:r w:rsidRPr="000D5D68">
              <w:rPr>
                <w:rFonts w:ascii="Times New Roman" w:hAnsi="Times New Roman" w:cs="Times New Roman"/>
                <w:b/>
                <w:lang w:val="en-GB"/>
              </w:rPr>
              <w:t xml:space="preserve"> </w:t>
            </w:r>
            <w:r>
              <w:rPr>
                <w:rFonts w:ascii="Times New Roman" w:hAnsi="Times New Roman" w:cs="Times New Roman"/>
                <w:b/>
                <w:lang w:val="en-GB"/>
              </w:rPr>
              <w:t>initiatives - update</w:t>
            </w:r>
          </w:p>
        </w:tc>
        <w:tc>
          <w:tcPr>
            <w:tcW w:w="9700" w:type="dxa"/>
          </w:tcPr>
          <w:p w:rsidR="004C7A26" w:rsidRDefault="00555903" w:rsidP="00D849A1">
            <w:pPr>
              <w:rPr>
                <w:rFonts w:ascii="Times New Roman" w:hAnsi="Times New Roman" w:cs="Times New Roman"/>
                <w:b/>
                <w:lang w:val="en-GB"/>
              </w:rPr>
            </w:pPr>
            <w:r w:rsidRPr="00555903">
              <w:rPr>
                <w:rFonts w:ascii="Times New Roman" w:hAnsi="Times New Roman" w:cs="Times New Roman"/>
                <w:b/>
                <w:lang w:val="en-GB"/>
              </w:rPr>
              <w:t>Financial Markets Lawyers Group (Federal Reserve of New York)</w:t>
            </w:r>
          </w:p>
          <w:p w:rsidR="007409AC" w:rsidRPr="0006056A" w:rsidRDefault="004F72F8" w:rsidP="00D849A1">
            <w:pPr>
              <w:rPr>
                <w:rFonts w:ascii="Times New Roman" w:hAnsi="Times New Roman" w:cs="Times New Roman"/>
                <w:lang w:val="en-GB"/>
              </w:rPr>
            </w:pPr>
            <w:r w:rsidRPr="00EB0008">
              <w:rPr>
                <w:rFonts w:ascii="Times New Roman" w:hAnsi="Times New Roman" w:cs="Times New Roman"/>
                <w:lang w:val="en-GB"/>
              </w:rPr>
              <w:t xml:space="preserve">Nelson, Michael and </w:t>
            </w:r>
            <w:proofErr w:type="spellStart"/>
            <w:r w:rsidRPr="00EB0008">
              <w:rPr>
                <w:rFonts w:ascii="Times New Roman" w:hAnsi="Times New Roman" w:cs="Times New Roman"/>
                <w:lang w:val="en-GB"/>
              </w:rPr>
              <w:t>Shawei</w:t>
            </w:r>
            <w:proofErr w:type="spellEnd"/>
            <w:r w:rsidRPr="00EB0008">
              <w:rPr>
                <w:rFonts w:ascii="Times New Roman" w:hAnsi="Times New Roman" w:cs="Times New Roman"/>
                <w:lang w:val="en-GB"/>
              </w:rPr>
              <w:t xml:space="preserve"> T. Wang</w:t>
            </w:r>
          </w:p>
        </w:tc>
      </w:tr>
      <w:tr w:rsidR="00EB0008" w:rsidTr="00AE0A75">
        <w:tc>
          <w:tcPr>
            <w:tcW w:w="846" w:type="dxa"/>
          </w:tcPr>
          <w:p w:rsidR="00EB0008" w:rsidRPr="000D5D68" w:rsidRDefault="00EB0008" w:rsidP="00D849A1">
            <w:pPr>
              <w:rPr>
                <w:rFonts w:ascii="Times New Roman" w:hAnsi="Times New Roman" w:cs="Times New Roman"/>
                <w:lang w:val="en-GB"/>
              </w:rPr>
            </w:pPr>
            <w:r>
              <w:rPr>
                <w:rFonts w:ascii="Times New Roman" w:hAnsi="Times New Roman" w:cs="Times New Roman"/>
                <w:lang w:val="en-GB"/>
              </w:rPr>
              <w:t>a.</w:t>
            </w:r>
          </w:p>
        </w:tc>
        <w:tc>
          <w:tcPr>
            <w:tcW w:w="3402" w:type="dxa"/>
          </w:tcPr>
          <w:p w:rsidR="00EB0008" w:rsidRPr="00EB0008" w:rsidRDefault="00EB0008" w:rsidP="00EB0008">
            <w:pPr>
              <w:rPr>
                <w:rFonts w:ascii="Times New Roman" w:hAnsi="Times New Roman" w:cs="Times New Roman"/>
                <w:lang w:val="en-GB"/>
              </w:rPr>
            </w:pPr>
            <w:r w:rsidRPr="00EB0008">
              <w:rPr>
                <w:rFonts w:ascii="Times New Roman" w:hAnsi="Times New Roman" w:cs="Times New Roman"/>
                <w:lang w:val="en-GB"/>
              </w:rPr>
              <w:t xml:space="preserve">GSE Reform </w:t>
            </w:r>
          </w:p>
          <w:p w:rsidR="00EB0008" w:rsidRPr="000D5D68" w:rsidRDefault="00EB0008" w:rsidP="00D849A1">
            <w:pPr>
              <w:rPr>
                <w:rFonts w:ascii="Times New Roman" w:hAnsi="Times New Roman" w:cs="Times New Roman"/>
                <w:lang w:val="en-GB"/>
              </w:rPr>
            </w:pPr>
          </w:p>
        </w:tc>
        <w:tc>
          <w:tcPr>
            <w:tcW w:w="9700" w:type="dxa"/>
          </w:tcPr>
          <w:p w:rsidR="00EB0008" w:rsidRPr="0006056A" w:rsidRDefault="00EB0008" w:rsidP="00D849A1">
            <w:pPr>
              <w:rPr>
                <w:rFonts w:ascii="Times New Roman" w:hAnsi="Times New Roman" w:cs="Times New Roman"/>
                <w:lang w:val="en-GB"/>
              </w:rPr>
            </w:pPr>
          </w:p>
        </w:tc>
      </w:tr>
      <w:tr w:rsidR="00EB0008" w:rsidTr="00AE0A75">
        <w:tc>
          <w:tcPr>
            <w:tcW w:w="846" w:type="dxa"/>
          </w:tcPr>
          <w:p w:rsidR="00EB0008" w:rsidRPr="000D5D68" w:rsidRDefault="00EB0008" w:rsidP="00D849A1">
            <w:pPr>
              <w:rPr>
                <w:rFonts w:ascii="Times New Roman" w:hAnsi="Times New Roman" w:cs="Times New Roman"/>
                <w:lang w:val="en-GB"/>
              </w:rPr>
            </w:pPr>
            <w:r>
              <w:rPr>
                <w:rFonts w:ascii="Times New Roman" w:hAnsi="Times New Roman" w:cs="Times New Roman"/>
                <w:lang w:val="en-GB"/>
              </w:rPr>
              <w:t>b.</w:t>
            </w:r>
          </w:p>
        </w:tc>
        <w:tc>
          <w:tcPr>
            <w:tcW w:w="3402" w:type="dxa"/>
          </w:tcPr>
          <w:p w:rsidR="00EB0008" w:rsidRPr="00EB0008" w:rsidRDefault="00EB0008" w:rsidP="00EB0008">
            <w:pPr>
              <w:rPr>
                <w:rFonts w:ascii="Times New Roman" w:hAnsi="Times New Roman" w:cs="Times New Roman"/>
                <w:lang w:val="en-GB"/>
              </w:rPr>
            </w:pPr>
            <w:r w:rsidRPr="00EB0008">
              <w:rPr>
                <w:rFonts w:ascii="Times New Roman" w:hAnsi="Times New Roman" w:cs="Times New Roman"/>
                <w:lang w:val="en-GB"/>
              </w:rPr>
              <w:t>Recent FX Cases in US Courts</w:t>
            </w:r>
          </w:p>
          <w:p w:rsidR="00EB0008" w:rsidRPr="000D5D68" w:rsidRDefault="00EB0008" w:rsidP="00D849A1">
            <w:pPr>
              <w:rPr>
                <w:rFonts w:ascii="Times New Roman" w:hAnsi="Times New Roman" w:cs="Times New Roman"/>
                <w:lang w:val="en-GB"/>
              </w:rPr>
            </w:pPr>
          </w:p>
        </w:tc>
        <w:tc>
          <w:tcPr>
            <w:tcW w:w="9700" w:type="dxa"/>
          </w:tcPr>
          <w:p w:rsidR="00EB0008" w:rsidRPr="006255D1" w:rsidRDefault="00EB0008" w:rsidP="00EB0008">
            <w:pPr>
              <w:pStyle w:val="ListParagraph"/>
              <w:ind w:leftChars="0"/>
              <w:rPr>
                <w:rFonts w:ascii="Times New Roman" w:hAnsi="Times New Roman" w:cs="Times New Roman"/>
                <w:lang w:val="en-GB"/>
              </w:rPr>
            </w:pPr>
          </w:p>
        </w:tc>
      </w:tr>
    </w:tbl>
    <w:p w:rsidR="000D5D68" w:rsidRDefault="000D5D68" w:rsidP="00A820AD">
      <w:pPr>
        <w:rPr>
          <w:rFonts w:ascii="Times New Roman" w:hAnsi="Times New Roman" w:cs="Times New Roman"/>
          <w:b/>
          <w:lang w:val="en-GB"/>
        </w:rPr>
      </w:pPr>
    </w:p>
    <w:p w:rsidR="003C7EAE" w:rsidRDefault="003C7EAE" w:rsidP="00A820AD">
      <w:pPr>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3C7EAE" w:rsidTr="001B7EBC">
        <w:tc>
          <w:tcPr>
            <w:tcW w:w="846" w:type="dxa"/>
          </w:tcPr>
          <w:p w:rsidR="003C7EAE" w:rsidRPr="000F7991" w:rsidRDefault="00B052E8" w:rsidP="001B7EBC">
            <w:pPr>
              <w:rPr>
                <w:rFonts w:ascii="Times New Roman" w:hAnsi="Times New Roman" w:cs="Times New Roman"/>
                <w:b/>
                <w:lang w:val="en-GB"/>
              </w:rPr>
            </w:pPr>
            <w:r>
              <w:rPr>
                <w:rFonts w:ascii="Times New Roman" w:hAnsi="Times New Roman" w:cs="Times New Roman"/>
                <w:b/>
                <w:lang w:val="en-GB"/>
              </w:rPr>
              <w:t>2</w:t>
            </w:r>
            <w:r w:rsidR="003C7EAE" w:rsidRPr="000F7991">
              <w:rPr>
                <w:rFonts w:ascii="Times New Roman" w:hAnsi="Times New Roman" w:cs="Times New Roman"/>
                <w:b/>
                <w:lang w:val="en-GB"/>
              </w:rPr>
              <w:t>.</w:t>
            </w:r>
          </w:p>
        </w:tc>
        <w:tc>
          <w:tcPr>
            <w:tcW w:w="3402" w:type="dxa"/>
          </w:tcPr>
          <w:p w:rsidR="003C7EAE" w:rsidRPr="00EB0008" w:rsidRDefault="00B052E8" w:rsidP="001B7EBC">
            <w:pPr>
              <w:rPr>
                <w:rFonts w:ascii="Times New Roman" w:hAnsi="Times New Roman" w:cs="Times New Roman"/>
                <w:lang w:val="en-GB"/>
              </w:rPr>
            </w:pPr>
            <w:r>
              <w:rPr>
                <w:rFonts w:ascii="Times New Roman" w:hAnsi="Times New Roman" w:cs="Times New Roman"/>
                <w:b/>
                <w:lang w:val="en-GB"/>
              </w:rPr>
              <w:t xml:space="preserve">SNB </w:t>
            </w:r>
            <w:r w:rsidR="003C7EAE">
              <w:rPr>
                <w:rFonts w:ascii="Times New Roman" w:hAnsi="Times New Roman" w:cs="Times New Roman"/>
                <w:b/>
                <w:lang w:val="en-GB"/>
              </w:rPr>
              <w:t>initiatives - update</w:t>
            </w:r>
          </w:p>
        </w:tc>
        <w:tc>
          <w:tcPr>
            <w:tcW w:w="9700" w:type="dxa"/>
          </w:tcPr>
          <w:p w:rsidR="00046023" w:rsidRDefault="00046023" w:rsidP="001B7EBC">
            <w:pPr>
              <w:rPr>
                <w:rFonts w:ascii="Times New Roman" w:hAnsi="Times New Roman" w:cs="Times New Roman"/>
                <w:b/>
                <w:lang w:val="en-GB"/>
              </w:rPr>
            </w:pPr>
            <w:r w:rsidRPr="00046023">
              <w:rPr>
                <w:rFonts w:ascii="Times New Roman" w:hAnsi="Times New Roman" w:cs="Times New Roman"/>
                <w:b/>
                <w:lang w:val="en-GB"/>
              </w:rPr>
              <w:t>Swiss National Bank</w:t>
            </w:r>
          </w:p>
          <w:p w:rsidR="003C7EAE" w:rsidRPr="0006056A" w:rsidRDefault="00DB406F" w:rsidP="001B7EBC">
            <w:pPr>
              <w:rPr>
                <w:rFonts w:ascii="Times New Roman" w:hAnsi="Times New Roman" w:cs="Times New Roman"/>
                <w:lang w:val="en-GB"/>
              </w:rPr>
            </w:pPr>
            <w:r w:rsidRPr="0034287D">
              <w:rPr>
                <w:rFonts w:ascii="Times New Roman" w:hAnsi="Times New Roman" w:cs="Times New Roman"/>
                <w:lang w:val="en-GB"/>
              </w:rPr>
              <w:t xml:space="preserve">Claudio </w:t>
            </w:r>
            <w:proofErr w:type="spellStart"/>
            <w:r w:rsidRPr="0034287D">
              <w:rPr>
                <w:rFonts w:ascii="Times New Roman" w:hAnsi="Times New Roman" w:cs="Times New Roman"/>
                <w:lang w:val="en-GB"/>
              </w:rPr>
              <w:t>Faeh</w:t>
            </w:r>
            <w:proofErr w:type="spellEnd"/>
          </w:p>
        </w:tc>
      </w:tr>
      <w:tr w:rsidR="003C7EAE" w:rsidTr="001B7EBC">
        <w:tc>
          <w:tcPr>
            <w:tcW w:w="846" w:type="dxa"/>
          </w:tcPr>
          <w:p w:rsidR="003C7EAE" w:rsidRPr="000D5D68" w:rsidRDefault="003C7EAE" w:rsidP="001B7EBC">
            <w:pPr>
              <w:rPr>
                <w:rFonts w:ascii="Times New Roman" w:hAnsi="Times New Roman" w:cs="Times New Roman"/>
                <w:lang w:val="en-GB"/>
              </w:rPr>
            </w:pPr>
            <w:r>
              <w:rPr>
                <w:rFonts w:ascii="Times New Roman" w:hAnsi="Times New Roman" w:cs="Times New Roman"/>
                <w:lang w:val="en-GB"/>
              </w:rPr>
              <w:t>a.</w:t>
            </w:r>
          </w:p>
        </w:tc>
        <w:tc>
          <w:tcPr>
            <w:tcW w:w="3402" w:type="dxa"/>
          </w:tcPr>
          <w:p w:rsidR="003C7EAE" w:rsidRPr="00EB0008" w:rsidRDefault="00204E34" w:rsidP="001B7EBC">
            <w:pPr>
              <w:rPr>
                <w:rFonts w:ascii="Times New Roman" w:hAnsi="Times New Roman" w:cs="Times New Roman"/>
                <w:lang w:val="en-GB"/>
              </w:rPr>
            </w:pPr>
            <w:r>
              <w:rPr>
                <w:rFonts w:ascii="Times New Roman" w:hAnsi="Times New Roman" w:cs="Times New Roman"/>
                <w:lang w:val="en-GB"/>
              </w:rPr>
              <w:t>S</w:t>
            </w:r>
            <w:r w:rsidRPr="00204E34">
              <w:rPr>
                <w:rFonts w:ascii="Times New Roman" w:hAnsi="Times New Roman" w:cs="Times New Roman"/>
                <w:lang w:val="en-GB"/>
              </w:rPr>
              <w:t>wiss Sovereign Money Initiative (update)</w:t>
            </w:r>
            <w:r w:rsidR="003C7EAE" w:rsidRPr="00EB0008">
              <w:rPr>
                <w:rFonts w:ascii="Times New Roman" w:hAnsi="Times New Roman" w:cs="Times New Roman"/>
                <w:lang w:val="en-GB"/>
              </w:rPr>
              <w:t xml:space="preserve"> </w:t>
            </w:r>
          </w:p>
          <w:p w:rsidR="003C7EAE" w:rsidRPr="000D5D68" w:rsidRDefault="003C7EAE" w:rsidP="001B7EBC">
            <w:pPr>
              <w:rPr>
                <w:rFonts w:ascii="Times New Roman" w:hAnsi="Times New Roman" w:cs="Times New Roman"/>
                <w:lang w:val="en-GB"/>
              </w:rPr>
            </w:pPr>
          </w:p>
        </w:tc>
        <w:tc>
          <w:tcPr>
            <w:tcW w:w="9700" w:type="dxa"/>
          </w:tcPr>
          <w:p w:rsidR="003C7EAE" w:rsidRPr="0006056A" w:rsidRDefault="003C7EAE" w:rsidP="001B7EBC">
            <w:pPr>
              <w:rPr>
                <w:rFonts w:ascii="Times New Roman" w:hAnsi="Times New Roman" w:cs="Times New Roman"/>
                <w:lang w:val="en-GB"/>
              </w:rPr>
            </w:pPr>
          </w:p>
        </w:tc>
      </w:tr>
      <w:tr w:rsidR="003C7EAE" w:rsidTr="001B7EBC">
        <w:tc>
          <w:tcPr>
            <w:tcW w:w="846" w:type="dxa"/>
          </w:tcPr>
          <w:p w:rsidR="003C7EAE" w:rsidRPr="000D5D68" w:rsidRDefault="003C7EAE" w:rsidP="001B7EBC">
            <w:pPr>
              <w:rPr>
                <w:rFonts w:ascii="Times New Roman" w:hAnsi="Times New Roman" w:cs="Times New Roman"/>
                <w:lang w:val="en-GB"/>
              </w:rPr>
            </w:pPr>
            <w:r>
              <w:rPr>
                <w:rFonts w:ascii="Times New Roman" w:hAnsi="Times New Roman" w:cs="Times New Roman"/>
                <w:lang w:val="en-GB"/>
              </w:rPr>
              <w:t>b.</w:t>
            </w:r>
          </w:p>
        </w:tc>
        <w:tc>
          <w:tcPr>
            <w:tcW w:w="3402" w:type="dxa"/>
          </w:tcPr>
          <w:p w:rsidR="003145DC" w:rsidRPr="003145DC" w:rsidRDefault="003145DC" w:rsidP="003145DC">
            <w:pPr>
              <w:rPr>
                <w:rFonts w:ascii="Times New Roman" w:hAnsi="Times New Roman" w:cs="Times New Roman"/>
                <w:lang w:val="en-GB"/>
              </w:rPr>
            </w:pPr>
            <w:proofErr w:type="spellStart"/>
            <w:r w:rsidRPr="003145DC">
              <w:rPr>
                <w:rFonts w:ascii="Times New Roman" w:hAnsi="Times New Roman" w:cs="Times New Roman"/>
                <w:lang w:val="en-GB"/>
              </w:rPr>
              <w:t>FinTech</w:t>
            </w:r>
            <w:proofErr w:type="spellEnd"/>
            <w:r w:rsidRPr="003145DC">
              <w:rPr>
                <w:rFonts w:ascii="Times New Roman" w:hAnsi="Times New Roman" w:cs="Times New Roman"/>
                <w:lang w:val="en-GB"/>
              </w:rPr>
              <w:t xml:space="preserve"> access to Swiss Interbank Clearing </w:t>
            </w:r>
          </w:p>
          <w:p w:rsidR="003C7EAE" w:rsidRPr="000D5D68" w:rsidRDefault="003C7EAE" w:rsidP="001B7EBC">
            <w:pPr>
              <w:rPr>
                <w:rFonts w:ascii="Times New Roman" w:hAnsi="Times New Roman" w:cs="Times New Roman"/>
                <w:lang w:val="en-GB"/>
              </w:rPr>
            </w:pPr>
          </w:p>
        </w:tc>
        <w:tc>
          <w:tcPr>
            <w:tcW w:w="9700" w:type="dxa"/>
          </w:tcPr>
          <w:p w:rsidR="003C7EAE" w:rsidRPr="006255D1" w:rsidRDefault="003C7EAE" w:rsidP="001B7EBC">
            <w:pPr>
              <w:pStyle w:val="ListParagraph"/>
              <w:ind w:leftChars="0"/>
              <w:rPr>
                <w:rFonts w:ascii="Times New Roman" w:hAnsi="Times New Roman" w:cs="Times New Roman"/>
                <w:lang w:val="en-GB"/>
              </w:rPr>
            </w:pPr>
          </w:p>
        </w:tc>
      </w:tr>
      <w:tr w:rsidR="00163D9A" w:rsidTr="001B7EBC">
        <w:tc>
          <w:tcPr>
            <w:tcW w:w="846" w:type="dxa"/>
          </w:tcPr>
          <w:p w:rsidR="00163D9A" w:rsidRDefault="00163D9A" w:rsidP="001B7EBC">
            <w:pPr>
              <w:rPr>
                <w:rFonts w:ascii="Times New Roman" w:hAnsi="Times New Roman" w:cs="Times New Roman"/>
                <w:lang w:val="en-GB"/>
              </w:rPr>
            </w:pPr>
            <w:r>
              <w:rPr>
                <w:rFonts w:ascii="Times New Roman" w:hAnsi="Times New Roman" w:cs="Times New Roman"/>
                <w:lang w:val="en-GB"/>
              </w:rPr>
              <w:t>c.</w:t>
            </w:r>
          </w:p>
        </w:tc>
        <w:tc>
          <w:tcPr>
            <w:tcW w:w="3402" w:type="dxa"/>
          </w:tcPr>
          <w:p w:rsidR="00163D9A" w:rsidRPr="00993274" w:rsidRDefault="00163D9A" w:rsidP="003145DC">
            <w:pPr>
              <w:rPr>
                <w:rFonts w:ascii="Times New Roman" w:hAnsi="Times New Roman" w:cs="Times New Roman"/>
                <w:szCs w:val="24"/>
              </w:rPr>
            </w:pPr>
            <w:r w:rsidRPr="00163D9A">
              <w:rPr>
                <w:rFonts w:ascii="Times New Roman" w:hAnsi="Times New Roman" w:cs="Times New Roman"/>
                <w:lang w:val="en-GB"/>
              </w:rPr>
              <w:t>EU equivalence</w:t>
            </w:r>
            <w:r w:rsidRPr="00163D9A">
              <w:rPr>
                <w:rFonts w:ascii="Times New Roman" w:hAnsi="Times New Roman" w:cs="Times New Roman"/>
                <w:szCs w:val="24"/>
              </w:rPr>
              <w:t xml:space="preserve"> of Swiss Stock Exchanges and Countermeasures</w:t>
            </w:r>
          </w:p>
        </w:tc>
        <w:tc>
          <w:tcPr>
            <w:tcW w:w="9700" w:type="dxa"/>
          </w:tcPr>
          <w:p w:rsidR="00163D9A" w:rsidRPr="006255D1" w:rsidRDefault="00163D9A" w:rsidP="001B7EBC">
            <w:pPr>
              <w:pStyle w:val="ListParagraph"/>
              <w:ind w:leftChars="0"/>
              <w:rPr>
                <w:rFonts w:ascii="Times New Roman" w:hAnsi="Times New Roman" w:cs="Times New Roman"/>
                <w:lang w:val="en-GB"/>
              </w:rPr>
            </w:pPr>
          </w:p>
        </w:tc>
      </w:tr>
    </w:tbl>
    <w:p w:rsidR="00562290" w:rsidRDefault="00562290" w:rsidP="00A820AD">
      <w:pPr>
        <w:rPr>
          <w:rFonts w:ascii="Times New Roman" w:hAnsi="Times New Roman" w:cs="Times New Roman"/>
          <w:b/>
          <w:lang w:val="en-GB"/>
        </w:rPr>
      </w:pPr>
    </w:p>
    <w:p w:rsidR="003C7EAE" w:rsidRDefault="003C7EAE" w:rsidP="00562290">
      <w:pPr>
        <w:widowControl/>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9A4B3F" w:rsidTr="001B7EBC">
        <w:tc>
          <w:tcPr>
            <w:tcW w:w="846" w:type="dxa"/>
          </w:tcPr>
          <w:p w:rsidR="009A4B3F" w:rsidRPr="000F7991" w:rsidRDefault="009A4B3F" w:rsidP="001B7EBC">
            <w:pPr>
              <w:rPr>
                <w:rFonts w:ascii="Times New Roman" w:hAnsi="Times New Roman" w:cs="Times New Roman"/>
                <w:b/>
                <w:lang w:val="en-GB"/>
              </w:rPr>
            </w:pPr>
            <w:r>
              <w:rPr>
                <w:rFonts w:ascii="Times New Roman" w:hAnsi="Times New Roman" w:cs="Times New Roman"/>
                <w:b/>
                <w:lang w:val="en-GB"/>
              </w:rPr>
              <w:t>3</w:t>
            </w:r>
            <w:r w:rsidRPr="000F7991">
              <w:rPr>
                <w:rFonts w:ascii="Times New Roman" w:hAnsi="Times New Roman" w:cs="Times New Roman"/>
                <w:b/>
                <w:lang w:val="en-GB"/>
              </w:rPr>
              <w:t>.</w:t>
            </w:r>
          </w:p>
        </w:tc>
        <w:tc>
          <w:tcPr>
            <w:tcW w:w="3402" w:type="dxa"/>
          </w:tcPr>
          <w:p w:rsidR="009A4B3F" w:rsidRPr="00EB0008" w:rsidRDefault="009A4B3F" w:rsidP="009A4B3F">
            <w:pPr>
              <w:rPr>
                <w:rFonts w:ascii="Times New Roman" w:hAnsi="Times New Roman" w:cs="Times New Roman"/>
                <w:lang w:val="en-GB"/>
              </w:rPr>
            </w:pPr>
            <w:r>
              <w:rPr>
                <w:rFonts w:ascii="Times New Roman" w:hAnsi="Times New Roman" w:cs="Times New Roman"/>
                <w:b/>
                <w:lang w:val="en-GB"/>
              </w:rPr>
              <w:t>FMLC</w:t>
            </w:r>
            <w:r w:rsidRPr="000D5D68">
              <w:rPr>
                <w:rFonts w:ascii="Times New Roman" w:hAnsi="Times New Roman" w:cs="Times New Roman"/>
                <w:b/>
                <w:lang w:val="en-GB"/>
              </w:rPr>
              <w:t xml:space="preserve"> </w:t>
            </w:r>
            <w:r>
              <w:rPr>
                <w:rFonts w:ascii="Times New Roman" w:hAnsi="Times New Roman" w:cs="Times New Roman"/>
                <w:b/>
                <w:lang w:val="en-GB"/>
              </w:rPr>
              <w:t>initiatives - update</w:t>
            </w:r>
          </w:p>
        </w:tc>
        <w:tc>
          <w:tcPr>
            <w:tcW w:w="9700" w:type="dxa"/>
          </w:tcPr>
          <w:p w:rsidR="001F191D" w:rsidRDefault="001F191D" w:rsidP="001B7EBC">
            <w:pPr>
              <w:rPr>
                <w:rFonts w:ascii="Times New Roman" w:hAnsi="Times New Roman" w:cs="Times New Roman"/>
                <w:b/>
                <w:lang w:val="en-GB"/>
              </w:rPr>
            </w:pPr>
            <w:r w:rsidRPr="001F191D">
              <w:rPr>
                <w:rFonts w:ascii="Times New Roman" w:hAnsi="Times New Roman" w:cs="Times New Roman"/>
                <w:b/>
                <w:lang w:val="en-GB"/>
              </w:rPr>
              <w:t>Financial Markets Law Committee</w:t>
            </w:r>
          </w:p>
          <w:p w:rsidR="009A4B3F" w:rsidRPr="0006056A" w:rsidRDefault="00E8077C" w:rsidP="001B7EBC">
            <w:pPr>
              <w:rPr>
                <w:rFonts w:ascii="Times New Roman" w:hAnsi="Times New Roman" w:cs="Times New Roman"/>
                <w:lang w:val="en-GB"/>
              </w:rPr>
            </w:pPr>
            <w:r>
              <w:rPr>
                <w:rFonts w:ascii="Times New Roman" w:hAnsi="Times New Roman" w:cs="Times New Roman"/>
                <w:lang w:val="en-GB"/>
              </w:rPr>
              <w:t xml:space="preserve">Joanna Perkins, </w:t>
            </w:r>
            <w:proofErr w:type="spellStart"/>
            <w:r>
              <w:rPr>
                <w:rFonts w:ascii="Times New Roman" w:hAnsi="Times New Roman" w:cs="Times New Roman"/>
                <w:lang w:val="en-GB"/>
              </w:rPr>
              <w:t>Venessa</w:t>
            </w:r>
            <w:proofErr w:type="spellEnd"/>
            <w:r>
              <w:rPr>
                <w:rFonts w:ascii="Times New Roman" w:hAnsi="Times New Roman" w:cs="Times New Roman"/>
                <w:lang w:val="en-GB"/>
              </w:rPr>
              <w:t xml:space="preserve"> Parekh</w:t>
            </w:r>
          </w:p>
        </w:tc>
      </w:tr>
      <w:tr w:rsidR="009A4B3F" w:rsidTr="001B7EBC">
        <w:tc>
          <w:tcPr>
            <w:tcW w:w="846" w:type="dxa"/>
          </w:tcPr>
          <w:p w:rsidR="009A4B3F" w:rsidRPr="000D5D68" w:rsidRDefault="009A4B3F" w:rsidP="001B7EBC">
            <w:pPr>
              <w:rPr>
                <w:rFonts w:ascii="Times New Roman" w:hAnsi="Times New Roman" w:cs="Times New Roman"/>
                <w:lang w:val="en-GB"/>
              </w:rPr>
            </w:pPr>
            <w:r>
              <w:rPr>
                <w:rFonts w:ascii="Times New Roman" w:hAnsi="Times New Roman" w:cs="Times New Roman"/>
                <w:lang w:val="en-GB"/>
              </w:rPr>
              <w:t>a.</w:t>
            </w:r>
          </w:p>
        </w:tc>
        <w:tc>
          <w:tcPr>
            <w:tcW w:w="3402" w:type="dxa"/>
          </w:tcPr>
          <w:p w:rsidR="001F3418" w:rsidRPr="001F3418" w:rsidRDefault="001F3418" w:rsidP="001F3418">
            <w:pPr>
              <w:rPr>
                <w:rFonts w:ascii="Times New Roman" w:hAnsi="Times New Roman" w:cs="Times New Roman"/>
                <w:lang w:val="en-GB"/>
              </w:rPr>
            </w:pPr>
            <w:r w:rsidRPr="001F3418">
              <w:rPr>
                <w:rFonts w:ascii="Times New Roman" w:hAnsi="Times New Roman" w:cs="Times New Roman"/>
                <w:lang w:val="en-GB"/>
              </w:rPr>
              <w:t>Update Brexit</w:t>
            </w:r>
          </w:p>
          <w:p w:rsidR="009A4B3F" w:rsidRPr="000D5D68" w:rsidRDefault="009A4B3F" w:rsidP="001B7EBC">
            <w:pPr>
              <w:rPr>
                <w:rFonts w:ascii="Times New Roman" w:hAnsi="Times New Roman" w:cs="Times New Roman"/>
                <w:lang w:val="en-GB"/>
              </w:rPr>
            </w:pPr>
          </w:p>
        </w:tc>
        <w:tc>
          <w:tcPr>
            <w:tcW w:w="9700" w:type="dxa"/>
          </w:tcPr>
          <w:p w:rsidR="009A4B3F" w:rsidRPr="0006056A" w:rsidRDefault="009A4B3F" w:rsidP="001B7EBC">
            <w:pPr>
              <w:rPr>
                <w:rFonts w:ascii="Times New Roman" w:hAnsi="Times New Roman" w:cs="Times New Roman"/>
                <w:lang w:val="en-GB"/>
              </w:rPr>
            </w:pPr>
          </w:p>
        </w:tc>
      </w:tr>
      <w:tr w:rsidR="009A4B3F" w:rsidTr="001B7EBC">
        <w:tc>
          <w:tcPr>
            <w:tcW w:w="846" w:type="dxa"/>
          </w:tcPr>
          <w:p w:rsidR="009A4B3F" w:rsidRPr="000D5D68" w:rsidRDefault="009A4B3F" w:rsidP="001B7EBC">
            <w:pPr>
              <w:rPr>
                <w:rFonts w:ascii="Times New Roman" w:hAnsi="Times New Roman" w:cs="Times New Roman"/>
                <w:lang w:val="en-GB"/>
              </w:rPr>
            </w:pPr>
            <w:r>
              <w:rPr>
                <w:rFonts w:ascii="Times New Roman" w:hAnsi="Times New Roman" w:cs="Times New Roman"/>
                <w:lang w:val="en-GB"/>
              </w:rPr>
              <w:t>b.</w:t>
            </w:r>
          </w:p>
        </w:tc>
        <w:tc>
          <w:tcPr>
            <w:tcW w:w="3402" w:type="dxa"/>
          </w:tcPr>
          <w:p w:rsidR="00AD39A6" w:rsidRPr="00AD39A6" w:rsidRDefault="00AD39A6" w:rsidP="00AD39A6">
            <w:pPr>
              <w:rPr>
                <w:rFonts w:ascii="Times New Roman" w:hAnsi="Times New Roman" w:cs="Times New Roman"/>
                <w:lang w:val="en-GB"/>
              </w:rPr>
            </w:pPr>
            <w:r w:rsidRPr="00AD39A6">
              <w:rPr>
                <w:rFonts w:ascii="Times New Roman" w:hAnsi="Times New Roman" w:cs="Times New Roman"/>
                <w:lang w:val="en-GB"/>
              </w:rPr>
              <w:t>Update Fintech</w:t>
            </w:r>
          </w:p>
          <w:p w:rsidR="009A4B3F" w:rsidRPr="000D5D68" w:rsidRDefault="009A4B3F" w:rsidP="00AD39A6">
            <w:pPr>
              <w:rPr>
                <w:rFonts w:ascii="Times New Roman" w:hAnsi="Times New Roman" w:cs="Times New Roman"/>
                <w:lang w:val="en-GB"/>
              </w:rPr>
            </w:pPr>
          </w:p>
        </w:tc>
        <w:tc>
          <w:tcPr>
            <w:tcW w:w="9700" w:type="dxa"/>
          </w:tcPr>
          <w:p w:rsidR="009A4B3F" w:rsidRPr="006255D1" w:rsidRDefault="009A4B3F" w:rsidP="001B7EBC">
            <w:pPr>
              <w:pStyle w:val="ListParagraph"/>
              <w:ind w:leftChars="0"/>
              <w:rPr>
                <w:rFonts w:ascii="Times New Roman" w:hAnsi="Times New Roman" w:cs="Times New Roman"/>
                <w:lang w:val="en-GB"/>
              </w:rPr>
            </w:pPr>
          </w:p>
        </w:tc>
      </w:tr>
    </w:tbl>
    <w:p w:rsidR="003C7EAE" w:rsidRDefault="003C7EAE" w:rsidP="00A820AD">
      <w:pPr>
        <w:rPr>
          <w:rFonts w:ascii="Times New Roman" w:hAnsi="Times New Roman" w:cs="Times New Roman"/>
          <w:b/>
          <w:lang w:val="en-GB"/>
        </w:rPr>
      </w:pPr>
    </w:p>
    <w:p w:rsidR="00B83D64" w:rsidRDefault="00B83D64" w:rsidP="00A820AD">
      <w:pPr>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362BB9" w:rsidTr="001B7EBC">
        <w:tc>
          <w:tcPr>
            <w:tcW w:w="846" w:type="dxa"/>
          </w:tcPr>
          <w:p w:rsidR="00362BB9" w:rsidRPr="000F7991" w:rsidRDefault="00362BB9" w:rsidP="001B7EBC">
            <w:pPr>
              <w:rPr>
                <w:rFonts w:ascii="Times New Roman" w:hAnsi="Times New Roman" w:cs="Times New Roman"/>
                <w:b/>
                <w:lang w:val="en-GB"/>
              </w:rPr>
            </w:pPr>
            <w:r>
              <w:rPr>
                <w:rFonts w:ascii="Times New Roman" w:hAnsi="Times New Roman" w:cs="Times New Roman"/>
                <w:b/>
                <w:lang w:val="en-GB"/>
              </w:rPr>
              <w:t>4</w:t>
            </w:r>
            <w:r w:rsidRPr="000F7991">
              <w:rPr>
                <w:rFonts w:ascii="Times New Roman" w:hAnsi="Times New Roman" w:cs="Times New Roman"/>
                <w:b/>
                <w:lang w:val="en-GB"/>
              </w:rPr>
              <w:t>.</w:t>
            </w:r>
          </w:p>
        </w:tc>
        <w:tc>
          <w:tcPr>
            <w:tcW w:w="3402" w:type="dxa"/>
          </w:tcPr>
          <w:p w:rsidR="00362BB9" w:rsidRPr="00EB0008" w:rsidRDefault="00362BB9" w:rsidP="00E65BDB">
            <w:pPr>
              <w:rPr>
                <w:rFonts w:ascii="Times New Roman" w:hAnsi="Times New Roman" w:cs="Times New Roman"/>
                <w:lang w:val="en-GB"/>
              </w:rPr>
            </w:pPr>
            <w:r>
              <w:rPr>
                <w:rFonts w:ascii="Times New Roman" w:hAnsi="Times New Roman" w:cs="Times New Roman"/>
                <w:b/>
                <w:lang w:val="en-GB"/>
              </w:rPr>
              <w:t>F</w:t>
            </w:r>
            <w:r w:rsidR="00E65BDB">
              <w:rPr>
                <w:rFonts w:ascii="Times New Roman" w:hAnsi="Times New Roman" w:cs="Times New Roman"/>
                <w:b/>
                <w:lang w:val="en-GB"/>
              </w:rPr>
              <w:t>LB</w:t>
            </w:r>
            <w:r w:rsidRPr="000D5D68">
              <w:rPr>
                <w:rFonts w:ascii="Times New Roman" w:hAnsi="Times New Roman" w:cs="Times New Roman"/>
                <w:b/>
                <w:lang w:val="en-GB"/>
              </w:rPr>
              <w:t xml:space="preserve"> </w:t>
            </w:r>
            <w:r>
              <w:rPr>
                <w:rFonts w:ascii="Times New Roman" w:hAnsi="Times New Roman" w:cs="Times New Roman"/>
                <w:b/>
                <w:lang w:val="en-GB"/>
              </w:rPr>
              <w:t>initiatives - update</w:t>
            </w:r>
          </w:p>
        </w:tc>
        <w:tc>
          <w:tcPr>
            <w:tcW w:w="9700" w:type="dxa"/>
          </w:tcPr>
          <w:p w:rsidR="00CE14A0" w:rsidRDefault="00B167BA" w:rsidP="001B7EBC">
            <w:pPr>
              <w:rPr>
                <w:rFonts w:ascii="Times New Roman" w:hAnsi="Times New Roman" w:cs="Times New Roman"/>
                <w:b/>
                <w:lang w:val="en-GB"/>
              </w:rPr>
            </w:pPr>
            <w:r w:rsidRPr="00B167BA">
              <w:rPr>
                <w:rFonts w:ascii="Times New Roman" w:hAnsi="Times New Roman" w:cs="Times New Roman"/>
                <w:b/>
                <w:lang w:val="en-GB"/>
              </w:rPr>
              <w:t>Financial Law Board (Bank of Japan)</w:t>
            </w:r>
          </w:p>
          <w:p w:rsidR="00362BB9" w:rsidRPr="0006056A" w:rsidRDefault="0051494A" w:rsidP="001B7EBC">
            <w:pPr>
              <w:rPr>
                <w:rFonts w:ascii="Times New Roman" w:hAnsi="Times New Roman" w:cs="Times New Roman"/>
                <w:lang w:val="en-GB"/>
              </w:rPr>
            </w:pPr>
            <w:r w:rsidRPr="00FB3105">
              <w:rPr>
                <w:rFonts w:ascii="Times New Roman" w:eastAsia="MS Mincho" w:hAnsi="Times New Roman" w:cs="Times New Roman"/>
                <w:szCs w:val="24"/>
                <w:lang w:val="en-GB" w:eastAsia="ja-JP"/>
              </w:rPr>
              <w:t>A</w:t>
            </w:r>
            <w:r w:rsidRPr="00FB3105">
              <w:rPr>
                <w:rFonts w:ascii="Times New Roman" w:hAnsi="Times New Roman" w:cs="Times New Roman"/>
                <w:szCs w:val="24"/>
                <w:lang w:val="en-GB"/>
              </w:rPr>
              <w:t>kira</w:t>
            </w:r>
            <w:r w:rsidRPr="00FB3105">
              <w:rPr>
                <w:rFonts w:ascii="Times New Roman" w:eastAsia="MS Mincho" w:hAnsi="Times New Roman" w:cs="Times New Roman"/>
                <w:szCs w:val="24"/>
                <w:lang w:val="en-GB" w:eastAsia="ja-JP"/>
              </w:rPr>
              <w:t xml:space="preserve"> </w:t>
            </w:r>
            <w:proofErr w:type="spellStart"/>
            <w:r w:rsidRPr="00FB3105">
              <w:rPr>
                <w:rFonts w:ascii="Times New Roman" w:eastAsia="MS Mincho" w:hAnsi="Times New Roman" w:cs="Times New Roman"/>
                <w:szCs w:val="24"/>
                <w:lang w:val="en-GB" w:eastAsia="ja-JP"/>
              </w:rPr>
              <w:t>T</w:t>
            </w:r>
            <w:r w:rsidRPr="00FB3105">
              <w:rPr>
                <w:rFonts w:ascii="Times New Roman" w:hAnsi="Times New Roman" w:cs="Times New Roman"/>
                <w:szCs w:val="24"/>
                <w:lang w:val="en-GB"/>
              </w:rPr>
              <w:t>suchikawa</w:t>
            </w:r>
            <w:proofErr w:type="spellEnd"/>
            <w:r w:rsidRPr="00FB3105">
              <w:rPr>
                <w:rFonts w:ascii="Times New Roman" w:hAnsi="Times New Roman" w:cs="Times New Roman"/>
                <w:szCs w:val="24"/>
                <w:lang w:val="en-GB"/>
              </w:rPr>
              <w:t xml:space="preserve">, Makoto Chiba, </w:t>
            </w:r>
            <w:r w:rsidRPr="00FB3105">
              <w:rPr>
                <w:rFonts w:ascii="Times New Roman" w:eastAsia="MS Mincho" w:hAnsi="Times New Roman" w:cs="Times New Roman"/>
                <w:szCs w:val="24"/>
                <w:lang w:val="en-GB" w:eastAsia="ja-JP"/>
              </w:rPr>
              <w:t xml:space="preserve">Kay </w:t>
            </w:r>
            <w:proofErr w:type="spellStart"/>
            <w:r w:rsidRPr="00FB3105">
              <w:rPr>
                <w:rFonts w:ascii="Times New Roman" w:eastAsia="MS Mincho" w:hAnsi="Times New Roman" w:cs="Times New Roman"/>
                <w:szCs w:val="24"/>
                <w:lang w:val="en-GB" w:eastAsia="ja-JP"/>
              </w:rPr>
              <w:t>Kunikane</w:t>
            </w:r>
            <w:proofErr w:type="spellEnd"/>
            <w:r w:rsidRPr="00FB3105">
              <w:rPr>
                <w:rFonts w:ascii="Times New Roman" w:eastAsia="MS Mincho" w:hAnsi="Times New Roman" w:cs="Times New Roman"/>
                <w:szCs w:val="24"/>
                <w:lang w:val="en-GB" w:eastAsia="ja-JP"/>
              </w:rPr>
              <w:t xml:space="preserve">, </w:t>
            </w:r>
            <w:proofErr w:type="spellStart"/>
            <w:r w:rsidRPr="00FB3105">
              <w:rPr>
                <w:rFonts w:ascii="Times New Roman" w:eastAsia="MS Mincho" w:hAnsi="Times New Roman" w:cs="Times New Roman"/>
                <w:szCs w:val="24"/>
                <w:lang w:val="en-GB" w:eastAsia="ja-JP"/>
              </w:rPr>
              <w:t>Kohki</w:t>
            </w:r>
            <w:proofErr w:type="spellEnd"/>
            <w:r w:rsidRPr="00FB3105">
              <w:rPr>
                <w:rFonts w:ascii="Times New Roman" w:eastAsia="MS Mincho" w:hAnsi="Times New Roman" w:cs="Times New Roman"/>
                <w:szCs w:val="24"/>
                <w:lang w:val="en-GB" w:eastAsia="ja-JP"/>
              </w:rPr>
              <w:t xml:space="preserve"> Izumi, Shogo </w:t>
            </w:r>
            <w:proofErr w:type="spellStart"/>
            <w:r w:rsidRPr="00FB3105">
              <w:rPr>
                <w:rFonts w:ascii="Times New Roman" w:eastAsia="MS Mincho" w:hAnsi="Times New Roman" w:cs="Times New Roman"/>
                <w:szCs w:val="24"/>
                <w:lang w:val="en-GB" w:eastAsia="ja-JP"/>
              </w:rPr>
              <w:t>Owada</w:t>
            </w:r>
            <w:proofErr w:type="spellEnd"/>
          </w:p>
        </w:tc>
      </w:tr>
      <w:tr w:rsidR="00362BB9" w:rsidTr="001B7EBC">
        <w:tc>
          <w:tcPr>
            <w:tcW w:w="846" w:type="dxa"/>
          </w:tcPr>
          <w:p w:rsidR="00362BB9" w:rsidRPr="000D5D68" w:rsidRDefault="00362BB9" w:rsidP="001B7EBC">
            <w:pPr>
              <w:rPr>
                <w:rFonts w:ascii="Times New Roman" w:hAnsi="Times New Roman" w:cs="Times New Roman"/>
                <w:lang w:val="en-GB"/>
              </w:rPr>
            </w:pPr>
            <w:r>
              <w:rPr>
                <w:rFonts w:ascii="Times New Roman" w:hAnsi="Times New Roman" w:cs="Times New Roman"/>
                <w:lang w:val="en-GB"/>
              </w:rPr>
              <w:t>a.</w:t>
            </w:r>
          </w:p>
        </w:tc>
        <w:tc>
          <w:tcPr>
            <w:tcW w:w="3402" w:type="dxa"/>
          </w:tcPr>
          <w:p w:rsidR="000A4BDB" w:rsidRPr="000A4BDB" w:rsidRDefault="000A4BDB" w:rsidP="000A4BDB">
            <w:pPr>
              <w:rPr>
                <w:rFonts w:ascii="Times New Roman" w:eastAsia="MS Mincho" w:hAnsi="Times New Roman" w:cs="Times New Roman"/>
                <w:lang w:val="en-GB" w:eastAsia="ja-JP"/>
              </w:rPr>
            </w:pPr>
            <w:r w:rsidRPr="000A4BDB">
              <w:rPr>
                <w:rFonts w:ascii="Times New Roman" w:eastAsia="MS Mincho" w:hAnsi="Times New Roman" w:cs="Times New Roman"/>
                <w:lang w:val="en-GB" w:eastAsia="ja-JP"/>
              </w:rPr>
              <w:t xml:space="preserve">Draft Legislative Amendment on Financial Regulations Regarding </w:t>
            </w:r>
            <w:proofErr w:type="spellStart"/>
            <w:r w:rsidRPr="000A4BDB">
              <w:rPr>
                <w:rFonts w:ascii="Times New Roman" w:eastAsia="MS Mincho" w:hAnsi="Times New Roman" w:cs="Times New Roman"/>
                <w:lang w:val="en-GB" w:eastAsia="ja-JP"/>
              </w:rPr>
              <w:t>FinTech</w:t>
            </w:r>
            <w:proofErr w:type="spellEnd"/>
          </w:p>
          <w:p w:rsidR="00362BB9" w:rsidRPr="000D5D68" w:rsidRDefault="00362BB9" w:rsidP="001B7EBC">
            <w:pPr>
              <w:rPr>
                <w:rFonts w:ascii="Times New Roman" w:hAnsi="Times New Roman" w:cs="Times New Roman"/>
                <w:lang w:val="en-GB"/>
              </w:rPr>
            </w:pPr>
          </w:p>
        </w:tc>
        <w:tc>
          <w:tcPr>
            <w:tcW w:w="9700" w:type="dxa"/>
          </w:tcPr>
          <w:p w:rsidR="00362BB9" w:rsidRPr="0006056A" w:rsidRDefault="00362BB9" w:rsidP="001B7EBC">
            <w:pPr>
              <w:rPr>
                <w:rFonts w:ascii="Times New Roman" w:hAnsi="Times New Roman" w:cs="Times New Roman"/>
                <w:lang w:val="en-GB"/>
              </w:rPr>
            </w:pPr>
          </w:p>
        </w:tc>
      </w:tr>
      <w:tr w:rsidR="00362BB9" w:rsidTr="001B7EBC">
        <w:tc>
          <w:tcPr>
            <w:tcW w:w="846" w:type="dxa"/>
          </w:tcPr>
          <w:p w:rsidR="00362BB9" w:rsidRPr="000D5D68" w:rsidRDefault="00362BB9" w:rsidP="001B7EBC">
            <w:pPr>
              <w:rPr>
                <w:rFonts w:ascii="Times New Roman" w:hAnsi="Times New Roman" w:cs="Times New Roman"/>
                <w:lang w:val="en-GB"/>
              </w:rPr>
            </w:pPr>
            <w:r>
              <w:rPr>
                <w:rFonts w:ascii="Times New Roman" w:hAnsi="Times New Roman" w:cs="Times New Roman"/>
                <w:lang w:val="en-GB"/>
              </w:rPr>
              <w:t>b.</w:t>
            </w:r>
          </w:p>
        </w:tc>
        <w:tc>
          <w:tcPr>
            <w:tcW w:w="3402" w:type="dxa"/>
          </w:tcPr>
          <w:p w:rsidR="00EB2D09" w:rsidRPr="00EB2D09" w:rsidRDefault="00EB2D09" w:rsidP="00EB2D09">
            <w:pPr>
              <w:rPr>
                <w:rFonts w:ascii="Times New Roman" w:eastAsia="MS Mincho" w:hAnsi="Times New Roman" w:cs="Times New Roman"/>
                <w:lang w:val="en-GB" w:eastAsia="ja-JP"/>
              </w:rPr>
            </w:pPr>
            <w:r w:rsidRPr="00EB2D09">
              <w:rPr>
                <w:rFonts w:ascii="Times New Roman" w:eastAsia="MS Mincho" w:hAnsi="Times New Roman" w:cs="Times New Roman"/>
                <w:szCs w:val="24"/>
                <w:lang w:val="en-GB" w:eastAsia="ja-JP"/>
              </w:rPr>
              <w:t>Committee on Japanese Yen Interest Rate Benchmark</w:t>
            </w:r>
          </w:p>
          <w:p w:rsidR="00362BB9" w:rsidRPr="000D5D68" w:rsidRDefault="00362BB9" w:rsidP="001B7EBC">
            <w:pPr>
              <w:rPr>
                <w:rFonts w:ascii="Times New Roman" w:hAnsi="Times New Roman" w:cs="Times New Roman"/>
                <w:lang w:val="en-GB"/>
              </w:rPr>
            </w:pPr>
          </w:p>
        </w:tc>
        <w:tc>
          <w:tcPr>
            <w:tcW w:w="9700" w:type="dxa"/>
          </w:tcPr>
          <w:p w:rsidR="00362BB9" w:rsidRPr="006255D1" w:rsidRDefault="00362BB9" w:rsidP="001B7EBC">
            <w:pPr>
              <w:pStyle w:val="ListParagraph"/>
              <w:ind w:leftChars="0"/>
              <w:rPr>
                <w:rFonts w:ascii="Times New Roman" w:hAnsi="Times New Roman" w:cs="Times New Roman"/>
                <w:lang w:val="en-GB"/>
              </w:rPr>
            </w:pPr>
          </w:p>
        </w:tc>
      </w:tr>
    </w:tbl>
    <w:p w:rsidR="007545C7" w:rsidRDefault="007545C7">
      <w:pPr>
        <w:widowControl/>
        <w:rPr>
          <w:rFonts w:ascii="Times New Roman" w:hAnsi="Times New Roman" w:cs="Times New Roman"/>
          <w:b/>
          <w:lang w:val="en-GB"/>
        </w:rPr>
      </w:pPr>
    </w:p>
    <w:p w:rsidR="00B83D64" w:rsidRDefault="00B83D64">
      <w:pPr>
        <w:widowControl/>
        <w:rPr>
          <w:rFonts w:ascii="Times New Roman" w:hAnsi="Times New Roman" w:cs="Times New Roman"/>
          <w:b/>
          <w:lang w:val="en-GB"/>
        </w:rPr>
      </w:pPr>
    </w:p>
    <w:p w:rsidR="00B83D64" w:rsidRDefault="00B83D64">
      <w:pPr>
        <w:widowControl/>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7545C7" w:rsidTr="001B7EBC">
        <w:tc>
          <w:tcPr>
            <w:tcW w:w="846" w:type="dxa"/>
          </w:tcPr>
          <w:p w:rsidR="007545C7" w:rsidRPr="000F7991" w:rsidRDefault="00283FB2" w:rsidP="001B7EBC">
            <w:pPr>
              <w:rPr>
                <w:rFonts w:ascii="Times New Roman" w:hAnsi="Times New Roman" w:cs="Times New Roman"/>
                <w:b/>
                <w:lang w:val="en-GB"/>
              </w:rPr>
            </w:pPr>
            <w:r>
              <w:rPr>
                <w:rFonts w:ascii="Times New Roman" w:hAnsi="Times New Roman" w:cs="Times New Roman"/>
                <w:b/>
                <w:lang w:val="en-GB"/>
              </w:rPr>
              <w:lastRenderedPageBreak/>
              <w:t>5</w:t>
            </w:r>
            <w:r w:rsidR="007545C7" w:rsidRPr="000F7991">
              <w:rPr>
                <w:rFonts w:ascii="Times New Roman" w:hAnsi="Times New Roman" w:cs="Times New Roman"/>
                <w:b/>
                <w:lang w:val="en-GB"/>
              </w:rPr>
              <w:t>.</w:t>
            </w:r>
          </w:p>
        </w:tc>
        <w:tc>
          <w:tcPr>
            <w:tcW w:w="3402" w:type="dxa"/>
          </w:tcPr>
          <w:p w:rsidR="007545C7" w:rsidRPr="00EB0008" w:rsidRDefault="007545C7" w:rsidP="001B7EBC">
            <w:pPr>
              <w:rPr>
                <w:rFonts w:ascii="Times New Roman" w:hAnsi="Times New Roman" w:cs="Times New Roman"/>
                <w:lang w:val="en-GB"/>
              </w:rPr>
            </w:pPr>
            <w:r>
              <w:rPr>
                <w:rFonts w:ascii="Times New Roman" w:hAnsi="Times New Roman" w:cs="Times New Roman"/>
                <w:b/>
                <w:lang w:val="en-GB"/>
              </w:rPr>
              <w:t>HKMA</w:t>
            </w:r>
            <w:r w:rsidRPr="000D5D68">
              <w:rPr>
                <w:rFonts w:ascii="Times New Roman" w:hAnsi="Times New Roman" w:cs="Times New Roman"/>
                <w:b/>
                <w:lang w:val="en-GB"/>
              </w:rPr>
              <w:t xml:space="preserve"> </w:t>
            </w:r>
            <w:r>
              <w:rPr>
                <w:rFonts w:ascii="Times New Roman" w:hAnsi="Times New Roman" w:cs="Times New Roman"/>
                <w:b/>
                <w:lang w:val="en-GB"/>
              </w:rPr>
              <w:t>initiatives - update</w:t>
            </w:r>
          </w:p>
        </w:tc>
        <w:tc>
          <w:tcPr>
            <w:tcW w:w="9700" w:type="dxa"/>
          </w:tcPr>
          <w:p w:rsidR="003304EA" w:rsidRPr="003304EA" w:rsidRDefault="003304EA" w:rsidP="003304EA">
            <w:pPr>
              <w:rPr>
                <w:rFonts w:ascii="Times New Roman" w:hAnsi="Times New Roman" w:cs="Times New Roman"/>
                <w:b/>
                <w:lang w:val="en-GB"/>
              </w:rPr>
            </w:pPr>
            <w:r w:rsidRPr="003304EA">
              <w:rPr>
                <w:rFonts w:ascii="Times New Roman" w:hAnsi="Times New Roman" w:cs="Times New Roman"/>
                <w:b/>
                <w:lang w:val="en-GB"/>
              </w:rPr>
              <w:t>Hong Kong Monetary Authority</w:t>
            </w:r>
          </w:p>
          <w:p w:rsidR="007545C7" w:rsidRPr="0006056A" w:rsidRDefault="004567A1" w:rsidP="004567A1">
            <w:pPr>
              <w:rPr>
                <w:rFonts w:ascii="Times New Roman" w:hAnsi="Times New Roman" w:cs="Times New Roman"/>
                <w:lang w:val="en-GB"/>
              </w:rPr>
            </w:pPr>
            <w:r>
              <w:rPr>
                <w:rFonts w:ascii="Times New Roman" w:hAnsi="Times New Roman" w:cs="Times New Roman"/>
                <w:lang w:val="en-GB"/>
              </w:rPr>
              <w:t xml:space="preserve">Joanna Wong, Angela Leung </w:t>
            </w:r>
          </w:p>
        </w:tc>
      </w:tr>
      <w:tr w:rsidR="007545C7" w:rsidTr="001B7EBC">
        <w:tc>
          <w:tcPr>
            <w:tcW w:w="846" w:type="dxa"/>
          </w:tcPr>
          <w:p w:rsidR="007545C7" w:rsidRPr="000D5D68" w:rsidRDefault="007545C7" w:rsidP="001B7EBC">
            <w:pPr>
              <w:rPr>
                <w:rFonts w:ascii="Times New Roman" w:hAnsi="Times New Roman" w:cs="Times New Roman"/>
                <w:lang w:val="en-GB"/>
              </w:rPr>
            </w:pPr>
            <w:r>
              <w:rPr>
                <w:rFonts w:ascii="Times New Roman" w:hAnsi="Times New Roman" w:cs="Times New Roman"/>
                <w:lang w:val="en-GB"/>
              </w:rPr>
              <w:t>a.</w:t>
            </w:r>
          </w:p>
        </w:tc>
        <w:tc>
          <w:tcPr>
            <w:tcW w:w="3402" w:type="dxa"/>
          </w:tcPr>
          <w:p w:rsidR="007545C7" w:rsidRPr="00034BA5" w:rsidRDefault="00034BA5" w:rsidP="00034BA5">
            <w:pPr>
              <w:rPr>
                <w:rFonts w:ascii="Times New Roman" w:hAnsi="Times New Roman" w:cs="Times New Roman"/>
                <w:lang w:val="en-GB"/>
              </w:rPr>
            </w:pPr>
            <w:r w:rsidRPr="00034BA5">
              <w:rPr>
                <w:rFonts w:ascii="Times New Roman" w:hAnsi="Times New Roman" w:cs="Times New Roman"/>
                <w:lang w:val="en-GB"/>
              </w:rPr>
              <w:t>Enhanced Competency Framework for Banking Practitioners</w:t>
            </w:r>
          </w:p>
          <w:p w:rsidR="00034BA5" w:rsidRPr="00034BA5" w:rsidRDefault="00034BA5" w:rsidP="00034BA5">
            <w:pPr>
              <w:pStyle w:val="ListParagraph"/>
              <w:ind w:leftChars="0" w:left="360"/>
              <w:rPr>
                <w:rFonts w:ascii="Times New Roman" w:hAnsi="Times New Roman" w:cs="Times New Roman"/>
                <w:lang w:val="en-GB"/>
              </w:rPr>
            </w:pPr>
          </w:p>
        </w:tc>
        <w:tc>
          <w:tcPr>
            <w:tcW w:w="9700" w:type="dxa"/>
          </w:tcPr>
          <w:p w:rsidR="007545C7" w:rsidRPr="0006056A" w:rsidRDefault="007545C7" w:rsidP="001B7EBC">
            <w:pPr>
              <w:rPr>
                <w:rFonts w:ascii="Times New Roman" w:hAnsi="Times New Roman" w:cs="Times New Roman"/>
                <w:lang w:val="en-GB"/>
              </w:rPr>
            </w:pPr>
          </w:p>
        </w:tc>
      </w:tr>
      <w:tr w:rsidR="007545C7" w:rsidTr="001B7EBC">
        <w:tc>
          <w:tcPr>
            <w:tcW w:w="846" w:type="dxa"/>
          </w:tcPr>
          <w:p w:rsidR="007545C7" w:rsidRPr="000D5D68" w:rsidRDefault="007545C7" w:rsidP="001B7EBC">
            <w:pPr>
              <w:rPr>
                <w:rFonts w:ascii="Times New Roman" w:hAnsi="Times New Roman" w:cs="Times New Roman"/>
                <w:lang w:val="en-GB"/>
              </w:rPr>
            </w:pPr>
            <w:r>
              <w:rPr>
                <w:rFonts w:ascii="Times New Roman" w:hAnsi="Times New Roman" w:cs="Times New Roman"/>
                <w:lang w:val="en-GB"/>
              </w:rPr>
              <w:t>b.</w:t>
            </w:r>
          </w:p>
        </w:tc>
        <w:tc>
          <w:tcPr>
            <w:tcW w:w="3402" w:type="dxa"/>
          </w:tcPr>
          <w:p w:rsidR="00034BA5" w:rsidRPr="00034BA5" w:rsidRDefault="00034BA5" w:rsidP="00034BA5">
            <w:pPr>
              <w:rPr>
                <w:rFonts w:ascii="Times New Roman" w:hAnsi="Times New Roman" w:cs="Times New Roman"/>
                <w:lang w:val="en-GB"/>
              </w:rPr>
            </w:pPr>
            <w:r w:rsidRPr="00034BA5">
              <w:rPr>
                <w:rFonts w:ascii="Times New Roman" w:hAnsi="Times New Roman" w:cs="Times New Roman"/>
                <w:lang w:val="en-GB"/>
              </w:rPr>
              <w:t>Updates on Imposing a Pecuniary Penalty for Contraventions of the Anti-Money Laundering and Counter-Terrorist Financing Ordinance</w:t>
            </w:r>
          </w:p>
          <w:p w:rsidR="007545C7" w:rsidRPr="000D5D68" w:rsidRDefault="007545C7" w:rsidP="001B7EBC">
            <w:pPr>
              <w:rPr>
                <w:rFonts w:ascii="Times New Roman" w:hAnsi="Times New Roman" w:cs="Times New Roman"/>
                <w:lang w:val="en-GB"/>
              </w:rPr>
            </w:pPr>
          </w:p>
        </w:tc>
        <w:tc>
          <w:tcPr>
            <w:tcW w:w="9700" w:type="dxa"/>
          </w:tcPr>
          <w:p w:rsidR="007545C7" w:rsidRPr="006255D1" w:rsidRDefault="007545C7" w:rsidP="001B7EBC">
            <w:pPr>
              <w:pStyle w:val="ListParagraph"/>
              <w:ind w:leftChars="0"/>
              <w:rPr>
                <w:rFonts w:ascii="Times New Roman" w:hAnsi="Times New Roman" w:cs="Times New Roman"/>
                <w:lang w:val="en-GB"/>
              </w:rPr>
            </w:pPr>
          </w:p>
        </w:tc>
      </w:tr>
    </w:tbl>
    <w:p w:rsidR="00463904" w:rsidRDefault="00463904" w:rsidP="00B710F8">
      <w:pPr>
        <w:widowControl/>
        <w:rPr>
          <w:rFonts w:ascii="Times New Roman" w:hAnsi="Times New Roman" w:cs="Times New Roman"/>
          <w:b/>
          <w:lang w:val="en-GB"/>
        </w:rPr>
      </w:pPr>
    </w:p>
    <w:p w:rsidR="00463904" w:rsidRDefault="00463904" w:rsidP="00B710F8">
      <w:pPr>
        <w:widowControl/>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D52CA9" w:rsidTr="001B7EBC">
        <w:tc>
          <w:tcPr>
            <w:tcW w:w="846" w:type="dxa"/>
          </w:tcPr>
          <w:p w:rsidR="00D52CA9" w:rsidRPr="000F7991" w:rsidRDefault="00D52CA9" w:rsidP="00D52CA9">
            <w:pPr>
              <w:rPr>
                <w:rFonts w:ascii="Times New Roman" w:hAnsi="Times New Roman" w:cs="Times New Roman"/>
                <w:b/>
                <w:lang w:val="en-GB"/>
              </w:rPr>
            </w:pPr>
            <w:r>
              <w:rPr>
                <w:rFonts w:ascii="Times New Roman" w:hAnsi="Times New Roman" w:cs="Times New Roman"/>
                <w:b/>
                <w:lang w:val="en-GB"/>
              </w:rPr>
              <w:t>6</w:t>
            </w:r>
            <w:r w:rsidRPr="000F7991">
              <w:rPr>
                <w:rFonts w:ascii="Times New Roman" w:hAnsi="Times New Roman" w:cs="Times New Roman"/>
                <w:b/>
                <w:lang w:val="en-GB"/>
              </w:rPr>
              <w:t>.</w:t>
            </w:r>
          </w:p>
        </w:tc>
        <w:tc>
          <w:tcPr>
            <w:tcW w:w="3402" w:type="dxa"/>
          </w:tcPr>
          <w:p w:rsidR="00D52CA9" w:rsidRPr="00EB0008" w:rsidRDefault="00D52CA9" w:rsidP="00D52CA9">
            <w:pPr>
              <w:rPr>
                <w:rFonts w:ascii="Times New Roman" w:hAnsi="Times New Roman" w:cs="Times New Roman"/>
                <w:lang w:val="en-GB"/>
              </w:rPr>
            </w:pPr>
            <w:r>
              <w:rPr>
                <w:rFonts w:ascii="Times New Roman" w:hAnsi="Times New Roman" w:cs="Times New Roman"/>
                <w:b/>
                <w:lang w:val="en-GB"/>
              </w:rPr>
              <w:t>EFMLG initiatives - update</w:t>
            </w:r>
          </w:p>
        </w:tc>
        <w:tc>
          <w:tcPr>
            <w:tcW w:w="9700" w:type="dxa"/>
          </w:tcPr>
          <w:p w:rsidR="00D52CA9" w:rsidRDefault="00D52CA9" w:rsidP="00D52CA9">
            <w:pPr>
              <w:rPr>
                <w:rFonts w:ascii="Times New Roman" w:hAnsi="Times New Roman" w:cs="Times New Roman"/>
                <w:b/>
                <w:lang w:val="en-GB"/>
              </w:rPr>
            </w:pPr>
            <w:r w:rsidRPr="00963FF8">
              <w:rPr>
                <w:rFonts w:ascii="Times New Roman" w:hAnsi="Times New Roman" w:cs="Times New Roman"/>
                <w:b/>
                <w:lang w:val="en-GB"/>
              </w:rPr>
              <w:t>European Financial Markets Lawyers Group (European Central Bank)</w:t>
            </w:r>
          </w:p>
          <w:p w:rsidR="00D52CA9" w:rsidRPr="0006056A" w:rsidRDefault="00D52CA9" w:rsidP="00D52CA9">
            <w:pPr>
              <w:rPr>
                <w:rFonts w:ascii="Times New Roman" w:hAnsi="Times New Roman" w:cs="Times New Roman"/>
                <w:lang w:val="en-GB"/>
              </w:rPr>
            </w:pPr>
            <w:r>
              <w:rPr>
                <w:rFonts w:ascii="Times New Roman" w:hAnsi="Times New Roman" w:cs="Times New Roman"/>
                <w:lang w:val="en-GB"/>
              </w:rPr>
              <w:t xml:space="preserve">Otto Heinz, </w:t>
            </w:r>
            <w:r w:rsidRPr="00782AD0">
              <w:rPr>
                <w:rFonts w:ascii="Times New Roman" w:hAnsi="Times New Roman" w:cs="Times New Roman"/>
                <w:lang w:val="en-GB"/>
              </w:rPr>
              <w:t>Iñigo Arruga</w:t>
            </w:r>
            <w:r>
              <w:rPr>
                <w:rFonts w:ascii="Times New Roman" w:hAnsi="Times New Roman" w:cs="Times New Roman"/>
                <w:lang w:val="en-GB"/>
              </w:rPr>
              <w:t>,</w:t>
            </w:r>
            <w:r w:rsidRPr="00782AD0">
              <w:rPr>
                <w:rFonts w:ascii="Times New Roman" w:hAnsi="Times New Roman" w:cs="Times New Roman"/>
                <w:lang w:val="en-GB"/>
              </w:rPr>
              <w:t xml:space="preserve"> Niall Lenihan</w:t>
            </w:r>
            <w:r>
              <w:rPr>
                <w:rFonts w:ascii="Times New Roman" w:hAnsi="Times New Roman" w:cs="Times New Roman"/>
                <w:lang w:val="en-GB"/>
              </w:rPr>
              <w:t xml:space="preserve">, </w:t>
            </w:r>
            <w:r w:rsidRPr="00782AD0">
              <w:rPr>
                <w:rFonts w:ascii="Times New Roman" w:hAnsi="Times New Roman" w:cs="Times New Roman"/>
                <w:lang w:val="en-GB"/>
              </w:rPr>
              <w:t>Marek Svoboda</w:t>
            </w:r>
            <w:r>
              <w:rPr>
                <w:rFonts w:ascii="Times New Roman" w:hAnsi="Times New Roman" w:cs="Times New Roman"/>
                <w:lang w:val="en-GB"/>
              </w:rPr>
              <w:t xml:space="preserve"> and </w:t>
            </w:r>
            <w:r w:rsidRPr="00782AD0">
              <w:rPr>
                <w:rFonts w:ascii="Times New Roman" w:hAnsi="Times New Roman" w:cs="Times New Roman"/>
                <w:lang w:val="en-GB"/>
              </w:rPr>
              <w:t>Sarah Jane Murphy</w:t>
            </w:r>
            <w:r>
              <w:rPr>
                <w:rFonts w:ascii="Times New Roman" w:hAnsi="Times New Roman" w:cs="Times New Roman"/>
                <w:lang w:val="en-GB"/>
              </w:rPr>
              <w:t xml:space="preserve">  </w:t>
            </w:r>
          </w:p>
        </w:tc>
      </w:tr>
      <w:tr w:rsidR="00D52CA9" w:rsidTr="001B7EBC">
        <w:tc>
          <w:tcPr>
            <w:tcW w:w="846" w:type="dxa"/>
          </w:tcPr>
          <w:p w:rsidR="00D52CA9" w:rsidRPr="000D5D68" w:rsidRDefault="00D52CA9" w:rsidP="00D52CA9">
            <w:pPr>
              <w:rPr>
                <w:rFonts w:ascii="Times New Roman" w:hAnsi="Times New Roman" w:cs="Times New Roman"/>
                <w:lang w:val="en-GB"/>
              </w:rPr>
            </w:pPr>
            <w:r>
              <w:rPr>
                <w:rFonts w:ascii="Times New Roman" w:hAnsi="Times New Roman" w:cs="Times New Roman"/>
                <w:lang w:val="en-GB"/>
              </w:rPr>
              <w:t>a.</w:t>
            </w:r>
          </w:p>
        </w:tc>
        <w:tc>
          <w:tcPr>
            <w:tcW w:w="3402" w:type="dxa"/>
          </w:tcPr>
          <w:p w:rsidR="00D52CA9" w:rsidRPr="00F35888" w:rsidRDefault="00D52CA9" w:rsidP="00D52CA9">
            <w:pPr>
              <w:rPr>
                <w:rFonts w:ascii="Times New Roman" w:hAnsi="Times New Roman" w:cs="Times New Roman"/>
                <w:lang w:val="en-GB"/>
              </w:rPr>
            </w:pPr>
            <w:r w:rsidRPr="00F35888">
              <w:rPr>
                <w:rFonts w:ascii="Times New Roman" w:eastAsia="MS Mincho" w:hAnsi="Times New Roman" w:cs="Times New Roman"/>
                <w:lang w:val="en-GB" w:eastAsia="ja-JP"/>
              </w:rPr>
              <w:t>Latest</w:t>
            </w:r>
            <w:r w:rsidRPr="00F35888">
              <w:rPr>
                <w:rFonts w:ascii="Times New Roman" w:hAnsi="Times New Roman" w:cs="Times New Roman"/>
                <w:lang w:val="en-GB"/>
              </w:rPr>
              <w:t xml:space="preserve"> developments with respect to the Benchmark Reform</w:t>
            </w:r>
          </w:p>
          <w:p w:rsidR="00D52CA9" w:rsidRPr="000D5D68" w:rsidRDefault="00D52CA9" w:rsidP="00D52CA9">
            <w:pPr>
              <w:rPr>
                <w:rFonts w:ascii="Times New Roman" w:hAnsi="Times New Roman" w:cs="Times New Roman"/>
                <w:lang w:val="en-GB"/>
              </w:rPr>
            </w:pPr>
          </w:p>
        </w:tc>
        <w:tc>
          <w:tcPr>
            <w:tcW w:w="9700" w:type="dxa"/>
          </w:tcPr>
          <w:p w:rsidR="008E6FE6" w:rsidRDefault="008E6FE6" w:rsidP="008E6FE6">
            <w:r>
              <w:t>The ECB is currently testing its system for producing the euro short-term rate (€STR), which will be publis</w:t>
            </w:r>
            <w:r>
              <w:t xml:space="preserve">hed </w:t>
            </w:r>
            <w:r>
              <w:t xml:space="preserve">daily as of 2 October. </w:t>
            </w:r>
          </w:p>
          <w:p w:rsidR="008E6FE6" w:rsidRDefault="008E6FE6" w:rsidP="008E6FE6">
            <w:r>
              <w:t xml:space="preserve">As regards market transition </w:t>
            </w:r>
            <w:r w:rsidR="003B558B">
              <w:t xml:space="preserve">to </w:t>
            </w:r>
            <w:r>
              <w:t xml:space="preserve">this </w:t>
            </w:r>
            <w:r w:rsidR="003B558B">
              <w:t xml:space="preserve">new </w:t>
            </w:r>
            <w:bookmarkStart w:id="0" w:name="_GoBack"/>
            <w:bookmarkEnd w:id="0"/>
            <w:r>
              <w:t>risk free rate, f</w:t>
            </w:r>
            <w:r>
              <w:t>ollowing its recommendati</w:t>
            </w:r>
            <w:r>
              <w:t>on last September that the</w:t>
            </w:r>
            <w:r>
              <w:t xml:space="preserve"> euro short-term rate should replace Eonia in contracts referencing that rate, the industry working group on risk free rates in the euro area</w:t>
            </w:r>
            <w:r>
              <w:t xml:space="preserve"> –for which the ECB provides the </w:t>
            </w:r>
            <w:r>
              <w:lastRenderedPageBreak/>
              <w:t xml:space="preserve">secretariat - has </w:t>
            </w:r>
            <w:r>
              <w:t xml:space="preserve">recommended a modified methodology for Eonia in order for Eonia to become the €STR plus a fixed spread. The spread would measure the difference in basis points between the two rates and their underlying interests in the previous 12 months and will be calculated by the ECB. The aim of the reform is to ensure that the recalibrated Eonia can become complaint with the EU Benchmarks regulation. Eonia itself will cease to be published by end 2021. The working group is consulting publically on its recommended transition plan for the market to move from Eonia to referencing €STR plus the spread in both new and legacy contracts, including by embedding fall back clauses. </w:t>
            </w:r>
          </w:p>
          <w:p w:rsidR="008E6FE6" w:rsidRDefault="008E6FE6" w:rsidP="008E6FE6">
            <w:r>
              <w:t xml:space="preserve">In parallel, the European Parliament has adopted two proposals which will significantly impact on the regulatory framework for Eonia and Euribor and other critical benchmarks in the EU, namely the proposal on a regulation on "low carbon benchmarks" and the proposal to review the powers of the European supervisory authorities (ESAs).  Most importantly the latter proposal will extend the deadline for existing critical benchmarks to be made compliant with the EU Benchmarks regulation by two years to end 2021.  It will also extend to five years the maximum period in which supervised entities may be required to contribute to a critical benchmark.   Under the former proposal ESMA (the European securities and markets authority) will take over supervision of critical benchmarks from the national competent authorities.  It now only remains for the Council to formally adopt both proposals within the next month. </w:t>
            </w:r>
          </w:p>
          <w:p w:rsidR="00D52CA9" w:rsidRPr="0006056A" w:rsidRDefault="00D52CA9" w:rsidP="00D52CA9">
            <w:pPr>
              <w:rPr>
                <w:rFonts w:ascii="Times New Roman" w:hAnsi="Times New Roman" w:cs="Times New Roman"/>
                <w:lang w:val="en-GB"/>
              </w:rPr>
            </w:pPr>
          </w:p>
        </w:tc>
      </w:tr>
    </w:tbl>
    <w:p w:rsidR="00D52CA9" w:rsidRDefault="00D52CA9" w:rsidP="00B710F8">
      <w:pPr>
        <w:widowControl/>
        <w:rPr>
          <w:rFonts w:ascii="Times New Roman" w:hAnsi="Times New Roman" w:cs="Times New Roman"/>
          <w:b/>
          <w:lang w:val="en-GB"/>
        </w:rPr>
      </w:pPr>
    </w:p>
    <w:p w:rsidR="00D52CA9" w:rsidRDefault="00D52CA9" w:rsidP="00B710F8">
      <w:pPr>
        <w:widowControl/>
        <w:rPr>
          <w:rFonts w:ascii="Times New Roman" w:hAnsi="Times New Roman" w:cs="Times New Roman"/>
          <w:b/>
          <w:lang w:val="en-GB"/>
        </w:rPr>
      </w:pPr>
    </w:p>
    <w:p w:rsidR="00D52CA9" w:rsidRDefault="00D52CA9" w:rsidP="00B710F8">
      <w:pPr>
        <w:widowControl/>
        <w:rPr>
          <w:rFonts w:ascii="Times New Roman" w:hAnsi="Times New Roman" w:cs="Times New Roman"/>
          <w:b/>
          <w:lang w:val="en-GB"/>
        </w:rPr>
      </w:pPr>
    </w:p>
    <w:tbl>
      <w:tblPr>
        <w:tblStyle w:val="TableGrid"/>
        <w:tblW w:w="0" w:type="auto"/>
        <w:tblLook w:val="04A0" w:firstRow="1" w:lastRow="0" w:firstColumn="1" w:lastColumn="0" w:noHBand="0" w:noVBand="1"/>
      </w:tblPr>
      <w:tblGrid>
        <w:gridCol w:w="846"/>
        <w:gridCol w:w="3402"/>
        <w:gridCol w:w="9700"/>
      </w:tblGrid>
      <w:tr w:rsidR="005972FC" w:rsidTr="001B7EBC">
        <w:tc>
          <w:tcPr>
            <w:tcW w:w="846" w:type="dxa"/>
          </w:tcPr>
          <w:p w:rsidR="005972FC" w:rsidRPr="000F7991" w:rsidRDefault="00D52CA9" w:rsidP="001B7EBC">
            <w:pPr>
              <w:rPr>
                <w:rFonts w:ascii="Times New Roman" w:hAnsi="Times New Roman" w:cs="Times New Roman"/>
                <w:b/>
                <w:lang w:val="en-GB"/>
              </w:rPr>
            </w:pPr>
            <w:r>
              <w:rPr>
                <w:rFonts w:ascii="Times New Roman" w:hAnsi="Times New Roman" w:cs="Times New Roman"/>
                <w:b/>
                <w:lang w:val="en-GB"/>
              </w:rPr>
              <w:lastRenderedPageBreak/>
              <w:t>7</w:t>
            </w:r>
            <w:r w:rsidR="005972FC" w:rsidRPr="000F7991">
              <w:rPr>
                <w:rFonts w:ascii="Times New Roman" w:hAnsi="Times New Roman" w:cs="Times New Roman"/>
                <w:b/>
                <w:lang w:val="en-GB"/>
              </w:rPr>
              <w:t>.</w:t>
            </w:r>
          </w:p>
        </w:tc>
        <w:tc>
          <w:tcPr>
            <w:tcW w:w="3402" w:type="dxa"/>
          </w:tcPr>
          <w:p w:rsidR="005972FC" w:rsidRPr="00EB0008" w:rsidRDefault="005972FC" w:rsidP="005972FC">
            <w:pPr>
              <w:rPr>
                <w:rFonts w:ascii="Times New Roman" w:hAnsi="Times New Roman" w:cs="Times New Roman"/>
                <w:lang w:val="en-GB"/>
              </w:rPr>
            </w:pPr>
            <w:r>
              <w:rPr>
                <w:rFonts w:ascii="Times New Roman" w:hAnsi="Times New Roman" w:cs="Times New Roman"/>
                <w:b/>
                <w:lang w:val="en-GB"/>
              </w:rPr>
              <w:t>MAS initiatives - update</w:t>
            </w:r>
          </w:p>
        </w:tc>
        <w:tc>
          <w:tcPr>
            <w:tcW w:w="9700" w:type="dxa"/>
          </w:tcPr>
          <w:p w:rsidR="00EE4827" w:rsidRDefault="00EE4827" w:rsidP="001B7EBC">
            <w:pPr>
              <w:rPr>
                <w:rFonts w:ascii="Times New Roman" w:hAnsi="Times New Roman" w:cs="Times New Roman"/>
                <w:b/>
                <w:lang w:val="en-GB"/>
              </w:rPr>
            </w:pPr>
            <w:r w:rsidRPr="00EE4827">
              <w:rPr>
                <w:rFonts w:ascii="Times New Roman" w:hAnsi="Times New Roman" w:cs="Times New Roman"/>
                <w:b/>
                <w:lang w:val="en-GB"/>
              </w:rPr>
              <w:t>Monetary Authority of Singapore</w:t>
            </w:r>
          </w:p>
          <w:p w:rsidR="005972FC" w:rsidRPr="0006056A" w:rsidRDefault="00EE4827" w:rsidP="001B7EBC">
            <w:pPr>
              <w:rPr>
                <w:rFonts w:ascii="Times New Roman" w:hAnsi="Times New Roman" w:cs="Times New Roman"/>
                <w:lang w:val="en-GB"/>
              </w:rPr>
            </w:pPr>
            <w:r>
              <w:rPr>
                <w:rFonts w:ascii="Times New Roman" w:hAnsi="Times New Roman" w:cs="Times New Roman"/>
                <w:lang w:val="en-GB"/>
              </w:rPr>
              <w:t>Paul Yuen, Dawn Chew, Serene Chew, Jocelyn Ngiam</w:t>
            </w:r>
          </w:p>
        </w:tc>
      </w:tr>
      <w:tr w:rsidR="005972FC" w:rsidTr="001B7EBC">
        <w:tc>
          <w:tcPr>
            <w:tcW w:w="846" w:type="dxa"/>
          </w:tcPr>
          <w:p w:rsidR="005972FC" w:rsidRPr="000D5D68" w:rsidRDefault="005972FC" w:rsidP="001B7EBC">
            <w:pPr>
              <w:rPr>
                <w:rFonts w:ascii="Times New Roman" w:hAnsi="Times New Roman" w:cs="Times New Roman"/>
                <w:lang w:val="en-GB"/>
              </w:rPr>
            </w:pPr>
            <w:r>
              <w:rPr>
                <w:rFonts w:ascii="Times New Roman" w:hAnsi="Times New Roman" w:cs="Times New Roman"/>
                <w:lang w:val="en-GB"/>
              </w:rPr>
              <w:t>a.</w:t>
            </w:r>
          </w:p>
        </w:tc>
        <w:tc>
          <w:tcPr>
            <w:tcW w:w="3402" w:type="dxa"/>
          </w:tcPr>
          <w:p w:rsidR="003E5A33" w:rsidRPr="003E5A33" w:rsidRDefault="003E5A33" w:rsidP="003E5A33">
            <w:pPr>
              <w:rPr>
                <w:rFonts w:ascii="Times New Roman" w:hAnsi="Times New Roman" w:cs="Times New Roman"/>
                <w:lang w:val="en-GB"/>
              </w:rPr>
            </w:pPr>
            <w:r w:rsidRPr="003E5A33">
              <w:rPr>
                <w:rFonts w:ascii="Times New Roman" w:hAnsi="Times New Roman" w:cs="Times New Roman"/>
                <w:lang w:val="en-GB"/>
              </w:rPr>
              <w:t xml:space="preserve">Regulatory developments in </w:t>
            </w:r>
            <w:proofErr w:type="spellStart"/>
            <w:r w:rsidRPr="003E5A33">
              <w:rPr>
                <w:rFonts w:ascii="Times New Roman" w:hAnsi="Times New Roman" w:cs="Times New Roman"/>
                <w:lang w:val="en-GB"/>
              </w:rPr>
              <w:t>FinTech</w:t>
            </w:r>
            <w:proofErr w:type="spellEnd"/>
            <w:r w:rsidRPr="003E5A33">
              <w:rPr>
                <w:rFonts w:ascii="Times New Roman" w:hAnsi="Times New Roman" w:cs="Times New Roman"/>
                <w:lang w:val="en-GB"/>
              </w:rPr>
              <w:t xml:space="preserve"> and e-payments</w:t>
            </w:r>
          </w:p>
          <w:p w:rsidR="005972FC" w:rsidRPr="000D5D68" w:rsidRDefault="005972FC" w:rsidP="001B7EBC">
            <w:pPr>
              <w:rPr>
                <w:rFonts w:ascii="Times New Roman" w:hAnsi="Times New Roman" w:cs="Times New Roman"/>
                <w:lang w:val="en-GB"/>
              </w:rPr>
            </w:pPr>
          </w:p>
        </w:tc>
        <w:tc>
          <w:tcPr>
            <w:tcW w:w="9700" w:type="dxa"/>
          </w:tcPr>
          <w:p w:rsidR="005972FC" w:rsidRPr="0006056A" w:rsidRDefault="005972FC" w:rsidP="001B7EBC">
            <w:pPr>
              <w:rPr>
                <w:rFonts w:ascii="Times New Roman" w:hAnsi="Times New Roman" w:cs="Times New Roman"/>
                <w:lang w:val="en-GB"/>
              </w:rPr>
            </w:pPr>
          </w:p>
        </w:tc>
      </w:tr>
      <w:tr w:rsidR="003E5A33" w:rsidTr="001B7EBC">
        <w:tc>
          <w:tcPr>
            <w:tcW w:w="846" w:type="dxa"/>
          </w:tcPr>
          <w:p w:rsidR="003E5A33" w:rsidRDefault="005274ED" w:rsidP="001B7EBC">
            <w:pPr>
              <w:rPr>
                <w:rFonts w:ascii="Times New Roman" w:hAnsi="Times New Roman" w:cs="Times New Roman"/>
                <w:lang w:val="en-GB"/>
              </w:rPr>
            </w:pPr>
            <w:r>
              <w:rPr>
                <w:rFonts w:ascii="Times New Roman" w:hAnsi="Times New Roman" w:cs="Times New Roman"/>
                <w:lang w:val="en-GB"/>
              </w:rPr>
              <w:t>b.</w:t>
            </w:r>
          </w:p>
        </w:tc>
        <w:tc>
          <w:tcPr>
            <w:tcW w:w="3402" w:type="dxa"/>
          </w:tcPr>
          <w:p w:rsidR="00DD3193" w:rsidRPr="00DD3193" w:rsidRDefault="00DD3193" w:rsidP="00DD3193">
            <w:pPr>
              <w:rPr>
                <w:rFonts w:ascii="Times New Roman" w:hAnsi="Times New Roman" w:cs="Times New Roman"/>
                <w:lang w:val="en-GB"/>
              </w:rPr>
            </w:pPr>
            <w:r w:rsidRPr="00DD3193">
              <w:rPr>
                <w:rFonts w:ascii="Times New Roman" w:hAnsi="Times New Roman" w:cs="Times New Roman"/>
                <w:lang w:val="en-GB"/>
              </w:rPr>
              <w:t>Enhanced measures to address technology / cyber-related risks</w:t>
            </w:r>
          </w:p>
          <w:p w:rsidR="003E5A33" w:rsidRPr="003E5A33" w:rsidRDefault="003E5A33" w:rsidP="003E5A33">
            <w:pPr>
              <w:rPr>
                <w:rFonts w:ascii="Times New Roman" w:hAnsi="Times New Roman" w:cs="Times New Roman"/>
                <w:lang w:val="en-GB"/>
              </w:rPr>
            </w:pPr>
          </w:p>
        </w:tc>
        <w:tc>
          <w:tcPr>
            <w:tcW w:w="9700" w:type="dxa"/>
          </w:tcPr>
          <w:p w:rsidR="003E5A33" w:rsidRPr="0006056A" w:rsidRDefault="003E5A33" w:rsidP="001B7EBC">
            <w:pPr>
              <w:rPr>
                <w:rFonts w:ascii="Times New Roman" w:hAnsi="Times New Roman" w:cs="Times New Roman"/>
                <w:lang w:val="en-GB"/>
              </w:rPr>
            </w:pPr>
          </w:p>
        </w:tc>
      </w:tr>
    </w:tbl>
    <w:p w:rsidR="005972FC" w:rsidRDefault="005972FC" w:rsidP="00B710F8">
      <w:pPr>
        <w:widowControl/>
        <w:rPr>
          <w:rFonts w:ascii="Times New Roman" w:hAnsi="Times New Roman" w:cs="Times New Roman"/>
          <w:b/>
          <w:lang w:val="en-GB"/>
        </w:rPr>
      </w:pPr>
    </w:p>
    <w:p w:rsidR="002B7544" w:rsidRDefault="002B7544" w:rsidP="0090170E">
      <w:pPr>
        <w:rPr>
          <w:rFonts w:ascii="Times New Roman" w:hAnsi="Times New Roman" w:cs="Times New Roman"/>
          <w:b/>
          <w:lang w:val="en-GB"/>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9781"/>
      </w:tblGrid>
      <w:tr w:rsidR="001A3497" w:rsidRPr="000926E8" w:rsidTr="00161AA7">
        <w:tc>
          <w:tcPr>
            <w:tcW w:w="828" w:type="dxa"/>
          </w:tcPr>
          <w:p w:rsidR="001A3497" w:rsidRPr="001A3497" w:rsidRDefault="001A3497" w:rsidP="001A3497">
            <w:pPr>
              <w:rPr>
                <w:rFonts w:ascii="Times New Roman" w:hAnsi="Times New Roman" w:cs="Times New Roman"/>
                <w:b/>
                <w:lang w:val="en-GB"/>
              </w:rPr>
            </w:pPr>
            <w:r w:rsidRPr="001A3497">
              <w:rPr>
                <w:rFonts w:ascii="Times New Roman" w:hAnsi="Times New Roman" w:cs="Times New Roman"/>
                <w:b/>
                <w:lang w:val="en-GB"/>
              </w:rPr>
              <w:t>8.</w:t>
            </w:r>
          </w:p>
        </w:tc>
        <w:tc>
          <w:tcPr>
            <w:tcW w:w="3420" w:type="dxa"/>
          </w:tcPr>
          <w:p w:rsidR="001A3497" w:rsidRPr="001A3497" w:rsidRDefault="001A3497" w:rsidP="001A3497">
            <w:pPr>
              <w:rPr>
                <w:rFonts w:ascii="Times New Roman" w:hAnsi="Times New Roman" w:cs="Times New Roman"/>
                <w:b/>
                <w:lang w:val="en-GB"/>
              </w:rPr>
            </w:pPr>
            <w:r w:rsidRPr="001A3497">
              <w:rPr>
                <w:rFonts w:ascii="Times New Roman" w:hAnsi="Times New Roman" w:cs="Times New Roman"/>
                <w:b/>
                <w:lang w:val="en-GB"/>
              </w:rPr>
              <w:t>Other issues</w:t>
            </w:r>
          </w:p>
          <w:p w:rsidR="001A3497" w:rsidRPr="001A3497" w:rsidRDefault="001A3497" w:rsidP="001A3497">
            <w:pPr>
              <w:spacing w:line="360" w:lineRule="auto"/>
              <w:rPr>
                <w:rFonts w:ascii="Times New Roman" w:hAnsi="Times New Roman" w:cs="Times New Roman"/>
                <w:b/>
                <w:lang w:val="en-GB"/>
              </w:rPr>
            </w:pPr>
          </w:p>
        </w:tc>
        <w:tc>
          <w:tcPr>
            <w:tcW w:w="9781" w:type="dxa"/>
          </w:tcPr>
          <w:p w:rsidR="001A3497" w:rsidRPr="001A3497" w:rsidRDefault="001A3497" w:rsidP="001A3497">
            <w:pPr>
              <w:rPr>
                <w:rFonts w:ascii="Times New Roman" w:hAnsi="Times New Roman" w:cs="Times New Roman"/>
                <w:b/>
                <w:lang w:val="en-GB"/>
              </w:rPr>
            </w:pPr>
          </w:p>
        </w:tc>
      </w:tr>
      <w:tr w:rsidR="001A3497" w:rsidRPr="000926E8" w:rsidTr="00161AA7">
        <w:tc>
          <w:tcPr>
            <w:tcW w:w="828" w:type="dxa"/>
          </w:tcPr>
          <w:p w:rsidR="001A3497" w:rsidRPr="001A3497" w:rsidRDefault="001A3497" w:rsidP="001A3497">
            <w:pPr>
              <w:rPr>
                <w:rFonts w:ascii="Times New Roman" w:hAnsi="Times New Roman" w:cs="Times New Roman"/>
                <w:lang w:val="en-GB"/>
              </w:rPr>
            </w:pPr>
            <w:r w:rsidRPr="001A3497">
              <w:rPr>
                <w:rFonts w:ascii="Times New Roman" w:hAnsi="Times New Roman" w:cs="Times New Roman"/>
                <w:lang w:val="en-GB"/>
              </w:rPr>
              <w:t>a.</w:t>
            </w:r>
          </w:p>
        </w:tc>
        <w:tc>
          <w:tcPr>
            <w:tcW w:w="3420" w:type="dxa"/>
          </w:tcPr>
          <w:p w:rsidR="001A3497" w:rsidRPr="001A3497" w:rsidRDefault="001A3497" w:rsidP="001A3497">
            <w:pPr>
              <w:rPr>
                <w:rFonts w:ascii="Times New Roman" w:hAnsi="Times New Roman" w:cs="Times New Roman"/>
                <w:lang w:val="en-GB"/>
              </w:rPr>
            </w:pPr>
            <w:r w:rsidRPr="001A3497">
              <w:rPr>
                <w:rFonts w:ascii="Times New Roman" w:hAnsi="Times New Roman" w:cs="Times New Roman"/>
                <w:lang w:val="en-GB"/>
              </w:rPr>
              <w:t>Date and organisation of next meeting</w:t>
            </w:r>
          </w:p>
          <w:p w:rsidR="001A3497" w:rsidRPr="001A3497" w:rsidRDefault="001A3497" w:rsidP="001A3497">
            <w:pPr>
              <w:spacing w:line="360" w:lineRule="auto"/>
              <w:rPr>
                <w:rFonts w:ascii="Times New Roman" w:hAnsi="Times New Roman" w:cs="Times New Roman"/>
                <w:lang w:val="en-GB"/>
              </w:rPr>
            </w:pPr>
          </w:p>
        </w:tc>
        <w:tc>
          <w:tcPr>
            <w:tcW w:w="9781" w:type="dxa"/>
          </w:tcPr>
          <w:p w:rsidR="001A3497" w:rsidRPr="001A3497" w:rsidRDefault="001A3497" w:rsidP="001A3497">
            <w:pPr>
              <w:rPr>
                <w:rFonts w:ascii="Times New Roman" w:hAnsi="Times New Roman" w:cs="Times New Roman"/>
                <w:lang w:val="en-GB"/>
              </w:rPr>
            </w:pPr>
            <w:r w:rsidRPr="001A3497">
              <w:rPr>
                <w:rFonts w:ascii="Times New Roman" w:hAnsi="Times New Roman" w:cs="Times New Roman"/>
                <w:lang w:val="en-GB"/>
              </w:rPr>
              <w:t>FMLC kindly offers to organise and host the next conference.</w:t>
            </w:r>
          </w:p>
        </w:tc>
      </w:tr>
    </w:tbl>
    <w:p w:rsidR="00A9332A" w:rsidRPr="00A820AD" w:rsidRDefault="00A9332A" w:rsidP="0090170E">
      <w:pPr>
        <w:rPr>
          <w:rFonts w:ascii="Times New Roman" w:hAnsi="Times New Roman" w:cs="Times New Roman"/>
          <w:b/>
          <w:lang w:val="en-GB"/>
        </w:rPr>
      </w:pPr>
    </w:p>
    <w:sectPr w:rsidR="00A9332A" w:rsidRPr="00A820AD" w:rsidSect="0060138B">
      <w:headerReference w:type="default" r:id="rId9"/>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868" w:rsidRDefault="00317868" w:rsidP="0060138B">
      <w:r>
        <w:separator/>
      </w:r>
    </w:p>
  </w:endnote>
  <w:endnote w:type="continuationSeparator" w:id="0">
    <w:p w:rsidR="00317868" w:rsidRDefault="00317868" w:rsidP="0060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868" w:rsidRDefault="00317868" w:rsidP="0060138B">
      <w:r>
        <w:separator/>
      </w:r>
    </w:p>
  </w:footnote>
  <w:footnote w:type="continuationSeparator" w:id="0">
    <w:p w:rsidR="00317868" w:rsidRDefault="00317868" w:rsidP="00601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8B" w:rsidRPr="0060138B" w:rsidRDefault="0060138B">
    <w:pPr>
      <w:pStyle w:val="Header"/>
      <w:pBdr>
        <w:bottom w:val="single" w:sz="12" w:space="1" w:color="auto"/>
      </w:pBdr>
      <w:rPr>
        <w:rFonts w:ascii="Times New Roman" w:hAnsi="Times New Roman" w:cs="Times New Roman"/>
      </w:rPr>
    </w:pPr>
    <w:r w:rsidRPr="0060138B">
      <w:rPr>
        <w:rFonts w:ascii="Times New Roman" w:hAnsi="Times New Roman" w:cs="Times New Roman"/>
      </w:rPr>
      <w:t>Monetary Authority of Singapore</w:t>
    </w:r>
  </w:p>
  <w:p w:rsidR="0060138B" w:rsidRPr="0060138B" w:rsidRDefault="0060138B">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7583"/>
    <w:multiLevelType w:val="hybridMultilevel"/>
    <w:tmpl w:val="A846F482"/>
    <w:lvl w:ilvl="0" w:tplc="4EE65170">
      <w:start w:val="1"/>
      <w:numFmt w:val="decimal"/>
      <w:lvlText w:val="%1."/>
      <w:lvlJc w:val="left"/>
      <w:pPr>
        <w:ind w:left="480" w:hanging="48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
    <w:nsid w:val="08AF568F"/>
    <w:multiLevelType w:val="hybridMultilevel"/>
    <w:tmpl w:val="C31A41F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0B9031F6"/>
    <w:multiLevelType w:val="hybridMultilevel"/>
    <w:tmpl w:val="B3C8997C"/>
    <w:lvl w:ilvl="0" w:tplc="4EE65170">
      <w:start w:val="1"/>
      <w:numFmt w:val="decimal"/>
      <w:lvlText w:val="%1."/>
      <w:lvlJc w:val="left"/>
      <w:pPr>
        <w:ind w:left="840" w:hanging="4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170B2418"/>
    <w:multiLevelType w:val="hybridMultilevel"/>
    <w:tmpl w:val="EAF07D2E"/>
    <w:lvl w:ilvl="0" w:tplc="1EFE3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A467F9E"/>
    <w:multiLevelType w:val="hybridMultilevel"/>
    <w:tmpl w:val="9CCCC2FC"/>
    <w:lvl w:ilvl="0" w:tplc="E87EAE66">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2CD25A3"/>
    <w:multiLevelType w:val="hybridMultilevel"/>
    <w:tmpl w:val="A846F482"/>
    <w:lvl w:ilvl="0" w:tplc="4EE65170">
      <w:start w:val="1"/>
      <w:numFmt w:val="decimal"/>
      <w:lvlText w:val="%1."/>
      <w:lvlJc w:val="left"/>
      <w:pPr>
        <w:ind w:left="840" w:hanging="4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nsid w:val="44553B56"/>
    <w:multiLevelType w:val="hybridMultilevel"/>
    <w:tmpl w:val="7DF4856E"/>
    <w:lvl w:ilvl="0" w:tplc="7C986B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FB09D3"/>
    <w:multiLevelType w:val="hybridMultilevel"/>
    <w:tmpl w:val="28A23404"/>
    <w:lvl w:ilvl="0" w:tplc="4EE65170">
      <w:start w:val="1"/>
      <w:numFmt w:val="decimal"/>
      <w:lvlText w:val="%1."/>
      <w:lvlJc w:val="left"/>
      <w:pPr>
        <w:ind w:left="480" w:hanging="48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8">
    <w:nsid w:val="59D226B2"/>
    <w:multiLevelType w:val="hybridMultilevel"/>
    <w:tmpl w:val="7D44FC92"/>
    <w:lvl w:ilvl="0" w:tplc="4EE65170">
      <w:start w:val="1"/>
      <w:numFmt w:val="decimal"/>
      <w:lvlText w:val="%1."/>
      <w:lvlJc w:val="left"/>
      <w:pPr>
        <w:ind w:left="840" w:hanging="48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669943C0"/>
    <w:multiLevelType w:val="hybridMultilevel"/>
    <w:tmpl w:val="9CCCC2FC"/>
    <w:lvl w:ilvl="0" w:tplc="E87EAE66">
      <w:start w:val="1"/>
      <w:numFmt w:val="decimal"/>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FB82288"/>
    <w:multiLevelType w:val="hybridMultilevel"/>
    <w:tmpl w:val="6A92E15A"/>
    <w:lvl w:ilvl="0" w:tplc="4EE65170">
      <w:start w:val="1"/>
      <w:numFmt w:val="decimal"/>
      <w:lvlText w:val="%1."/>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nsid w:val="78CF795E"/>
    <w:multiLevelType w:val="hybridMultilevel"/>
    <w:tmpl w:val="A3FEE7AA"/>
    <w:lvl w:ilvl="0" w:tplc="AE8006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10"/>
  </w:num>
  <w:num w:numId="4">
    <w:abstractNumId w:val="6"/>
  </w:num>
  <w:num w:numId="5">
    <w:abstractNumId w:val="4"/>
  </w:num>
  <w:num w:numId="6">
    <w:abstractNumId w:val="1"/>
  </w:num>
  <w:num w:numId="7">
    <w:abstractNumId w:val="5"/>
  </w:num>
  <w:num w:numId="8">
    <w:abstractNumId w:val="0"/>
  </w:num>
  <w:num w:numId="9">
    <w:abstractNumId w:val="7"/>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hyphenationZone w:val="425"/>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0AD"/>
    <w:rsid w:val="00011A40"/>
    <w:rsid w:val="00034BA5"/>
    <w:rsid w:val="00046023"/>
    <w:rsid w:val="0006056A"/>
    <w:rsid w:val="00066CE0"/>
    <w:rsid w:val="000900C8"/>
    <w:rsid w:val="000A4BDB"/>
    <w:rsid w:val="000C3E10"/>
    <w:rsid w:val="000C7074"/>
    <w:rsid w:val="000D5D68"/>
    <w:rsid w:val="000E446D"/>
    <w:rsid w:val="000F7991"/>
    <w:rsid w:val="00107D11"/>
    <w:rsid w:val="00130499"/>
    <w:rsid w:val="00161AA7"/>
    <w:rsid w:val="00163D9A"/>
    <w:rsid w:val="001918CF"/>
    <w:rsid w:val="001A3497"/>
    <w:rsid w:val="001C2638"/>
    <w:rsid w:val="001F191D"/>
    <w:rsid w:val="001F3418"/>
    <w:rsid w:val="002021A7"/>
    <w:rsid w:val="00204E34"/>
    <w:rsid w:val="002053B7"/>
    <w:rsid w:val="00246B58"/>
    <w:rsid w:val="00283FB2"/>
    <w:rsid w:val="002B7544"/>
    <w:rsid w:val="002C752C"/>
    <w:rsid w:val="002E624B"/>
    <w:rsid w:val="003145DC"/>
    <w:rsid w:val="00317868"/>
    <w:rsid w:val="003304EA"/>
    <w:rsid w:val="0034287D"/>
    <w:rsid w:val="00362BB9"/>
    <w:rsid w:val="00396C43"/>
    <w:rsid w:val="003B558B"/>
    <w:rsid w:val="003C7EAE"/>
    <w:rsid w:val="003D35DE"/>
    <w:rsid w:val="003E50C8"/>
    <w:rsid w:val="003E5A33"/>
    <w:rsid w:val="0040764E"/>
    <w:rsid w:val="00424553"/>
    <w:rsid w:val="004567A1"/>
    <w:rsid w:val="00463904"/>
    <w:rsid w:val="004C7A26"/>
    <w:rsid w:val="004F2036"/>
    <w:rsid w:val="004F72F8"/>
    <w:rsid w:val="00500B88"/>
    <w:rsid w:val="0051494A"/>
    <w:rsid w:val="005274ED"/>
    <w:rsid w:val="00530C3E"/>
    <w:rsid w:val="00555903"/>
    <w:rsid w:val="00562290"/>
    <w:rsid w:val="005745B8"/>
    <w:rsid w:val="005972FC"/>
    <w:rsid w:val="005F1B97"/>
    <w:rsid w:val="0060138B"/>
    <w:rsid w:val="006014EE"/>
    <w:rsid w:val="00605B37"/>
    <w:rsid w:val="00606FB1"/>
    <w:rsid w:val="006255D1"/>
    <w:rsid w:val="00663FFD"/>
    <w:rsid w:val="0067576D"/>
    <w:rsid w:val="006B67B9"/>
    <w:rsid w:val="006E4E66"/>
    <w:rsid w:val="006F1D9C"/>
    <w:rsid w:val="00706009"/>
    <w:rsid w:val="007409AC"/>
    <w:rsid w:val="007545C7"/>
    <w:rsid w:val="0077632A"/>
    <w:rsid w:val="00782AD0"/>
    <w:rsid w:val="007B7C44"/>
    <w:rsid w:val="007D5987"/>
    <w:rsid w:val="007D7009"/>
    <w:rsid w:val="007F332B"/>
    <w:rsid w:val="008360F2"/>
    <w:rsid w:val="00851EA3"/>
    <w:rsid w:val="00895462"/>
    <w:rsid w:val="008E6FE6"/>
    <w:rsid w:val="0090170E"/>
    <w:rsid w:val="0092622E"/>
    <w:rsid w:val="00963FF8"/>
    <w:rsid w:val="00984AE1"/>
    <w:rsid w:val="00993274"/>
    <w:rsid w:val="009A4B3F"/>
    <w:rsid w:val="00A77CB5"/>
    <w:rsid w:val="00A820AD"/>
    <w:rsid w:val="00A90803"/>
    <w:rsid w:val="00A9332A"/>
    <w:rsid w:val="00AB723D"/>
    <w:rsid w:val="00AC687E"/>
    <w:rsid w:val="00AD39A6"/>
    <w:rsid w:val="00AE0A75"/>
    <w:rsid w:val="00AF5996"/>
    <w:rsid w:val="00B052E8"/>
    <w:rsid w:val="00B1136A"/>
    <w:rsid w:val="00B167BA"/>
    <w:rsid w:val="00B70F2D"/>
    <w:rsid w:val="00B710F8"/>
    <w:rsid w:val="00B83D64"/>
    <w:rsid w:val="00C20320"/>
    <w:rsid w:val="00C24DDB"/>
    <w:rsid w:val="00C33184"/>
    <w:rsid w:val="00CD599B"/>
    <w:rsid w:val="00CE14A0"/>
    <w:rsid w:val="00D31704"/>
    <w:rsid w:val="00D52CA9"/>
    <w:rsid w:val="00D86C2F"/>
    <w:rsid w:val="00DB406F"/>
    <w:rsid w:val="00DD1777"/>
    <w:rsid w:val="00DD3193"/>
    <w:rsid w:val="00DD4C5B"/>
    <w:rsid w:val="00DF0FA7"/>
    <w:rsid w:val="00E040F7"/>
    <w:rsid w:val="00E34F51"/>
    <w:rsid w:val="00E65BDB"/>
    <w:rsid w:val="00E744FE"/>
    <w:rsid w:val="00E80028"/>
    <w:rsid w:val="00E8077C"/>
    <w:rsid w:val="00EB0008"/>
    <w:rsid w:val="00EB2D09"/>
    <w:rsid w:val="00EB2E98"/>
    <w:rsid w:val="00EE0010"/>
    <w:rsid w:val="00EE4827"/>
    <w:rsid w:val="00EF050A"/>
    <w:rsid w:val="00F207A2"/>
    <w:rsid w:val="00F35888"/>
    <w:rsid w:val="00F461C9"/>
    <w:rsid w:val="00F46612"/>
    <w:rsid w:val="00F60432"/>
    <w:rsid w:val="00FA72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68"/>
    <w:pPr>
      <w:ind w:leftChars="200" w:left="480"/>
    </w:pPr>
  </w:style>
  <w:style w:type="paragraph" w:styleId="Header">
    <w:name w:val="header"/>
    <w:basedOn w:val="Normal"/>
    <w:link w:val="HeaderChar"/>
    <w:uiPriority w:val="99"/>
    <w:unhideWhenUsed/>
    <w:rsid w:val="0060138B"/>
    <w:pPr>
      <w:tabs>
        <w:tab w:val="center" w:pos="4513"/>
        <w:tab w:val="right" w:pos="9026"/>
      </w:tabs>
    </w:pPr>
  </w:style>
  <w:style w:type="character" w:customStyle="1" w:styleId="HeaderChar">
    <w:name w:val="Header Char"/>
    <w:basedOn w:val="DefaultParagraphFont"/>
    <w:link w:val="Header"/>
    <w:uiPriority w:val="99"/>
    <w:rsid w:val="0060138B"/>
  </w:style>
  <w:style w:type="paragraph" w:styleId="Footer">
    <w:name w:val="footer"/>
    <w:basedOn w:val="Normal"/>
    <w:link w:val="FooterChar"/>
    <w:uiPriority w:val="99"/>
    <w:unhideWhenUsed/>
    <w:rsid w:val="0060138B"/>
    <w:pPr>
      <w:tabs>
        <w:tab w:val="center" w:pos="4513"/>
        <w:tab w:val="right" w:pos="9026"/>
      </w:tabs>
    </w:pPr>
  </w:style>
  <w:style w:type="character" w:customStyle="1" w:styleId="FooterChar">
    <w:name w:val="Footer Char"/>
    <w:basedOn w:val="DefaultParagraphFont"/>
    <w:link w:val="Footer"/>
    <w:uiPriority w:val="99"/>
    <w:rsid w:val="006013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5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68"/>
    <w:pPr>
      <w:ind w:leftChars="200" w:left="480"/>
    </w:pPr>
  </w:style>
  <w:style w:type="paragraph" w:styleId="Header">
    <w:name w:val="header"/>
    <w:basedOn w:val="Normal"/>
    <w:link w:val="HeaderChar"/>
    <w:uiPriority w:val="99"/>
    <w:unhideWhenUsed/>
    <w:rsid w:val="0060138B"/>
    <w:pPr>
      <w:tabs>
        <w:tab w:val="center" w:pos="4513"/>
        <w:tab w:val="right" w:pos="9026"/>
      </w:tabs>
    </w:pPr>
  </w:style>
  <w:style w:type="character" w:customStyle="1" w:styleId="HeaderChar">
    <w:name w:val="Header Char"/>
    <w:basedOn w:val="DefaultParagraphFont"/>
    <w:link w:val="Header"/>
    <w:uiPriority w:val="99"/>
    <w:rsid w:val="0060138B"/>
  </w:style>
  <w:style w:type="paragraph" w:styleId="Footer">
    <w:name w:val="footer"/>
    <w:basedOn w:val="Normal"/>
    <w:link w:val="FooterChar"/>
    <w:uiPriority w:val="99"/>
    <w:unhideWhenUsed/>
    <w:rsid w:val="0060138B"/>
    <w:pPr>
      <w:tabs>
        <w:tab w:val="center" w:pos="4513"/>
        <w:tab w:val="right" w:pos="9026"/>
      </w:tabs>
    </w:pPr>
  </w:style>
  <w:style w:type="character" w:customStyle="1" w:styleId="FooterChar">
    <w:name w:val="Footer Char"/>
    <w:basedOn w:val="DefaultParagraphFont"/>
    <w:link w:val="Footer"/>
    <w:uiPriority w:val="99"/>
    <w:rsid w:val="00601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83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664AC-7B90-49F4-BBFC-F9C1E11B3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Hong Kong Monetary Authority</Company>
  <LinksUpToDate>false</LinksUpToDate>
  <CharactersWithSpaces>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Svoboda, Marek</cp:lastModifiedBy>
  <cp:revision>4</cp:revision>
  <cp:lastPrinted>2018-08-02T01:40:00Z</cp:lastPrinted>
  <dcterms:created xsi:type="dcterms:W3CDTF">2019-05-09T08:05:00Z</dcterms:created>
  <dcterms:modified xsi:type="dcterms:W3CDTF">2019-05-09T08:06:00Z</dcterms:modified>
</cp:coreProperties>
</file>